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6350-424b2_saratoga.htm"/>
      <w:bookmarkStart w:id="1" w:name="ksea0306350424b2_saratoga"/>
      <w:bookmarkEnd w:id="0"/>
      <w:bookmarkEnd w:id="1"/>
      <w:r>
        <w:rPr>
          <w:rFonts w:ascii="Times New Roman;Times;Serif" w:hAnsi="Times New Roman;Times;Serif"/>
          <w:b/>
          <w:i w:val="false"/>
          <w:caps w:val="false"/>
          <w:smallCaps w:val="false"/>
          <w:sz w:val="20"/>
        </w:rPr>
        <w:t>Filed pursuant to Rule 424(b)(2)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333-292765</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March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667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6725" cy="476250"/>
                    </a:xfrm>
                    <a:prstGeom prst="rect">
                      <a:avLst/>
                    </a:prstGeom>
                  </pic:spPr>
                </pic:pic>
              </a:graphicData>
            </a:graphic>
          </wp:inline>
        </w:drawing>
      </w:r>
      <w:r>
        <w:rPr>
          <w:caps w:val="false"/>
          <w:smallCaps w:val="false"/>
        </w:rPr>
        <w:drawing>
          <wp:inline distT="0" distB="0" distL="0" distR="0">
            <wp:extent cx="204787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7875" cy="47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$20,080,350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specialty finance company that invests primarily in senior and unitranche leveraged loans and mezzanine debt issued by private U.S. middle-market companies, both through direct lending and through participation in loan syndicates, and, to a lesser extent, equity issued by private U.S. middle-market companies. Our investment objective is to create attractive risk-adjusted returns by generating current income and, to a lesser extent, capital appreciation from our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regulated as a business development company (“BDC”) under the Investment Company Act of 1940, as amended (the “1940 Act”). We are externally managed and advised by Saratoga Investment Advisors, LLC, a New York-based investment firm affiliated with Saratoga Partners, a middle-market private equity investment firm.</w:t>
      </w:r>
    </w:p>
    <w:p>
      <w:pPr>
        <w:pStyle w:val="TextBody"/>
        <w:bidi w:val="0"/>
        <w:spacing w:before="0" w:after="0"/>
        <w:ind w:left="0" w:right="0" w:firstLine="47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$20,080,350 in aggregate principal amount of 8.00% notes due 2031, which we refer to as the “Notes.” The Notes will mature on August 31, 2031. We will pay interest on the Notes on February 28, May 31, August 31 and November 30 of each year, beginning on November 30, 2026. The Notes offered hereby are a further issuance of the 8.00% notes due 2031 that we initially issued on August 26, 2026 in the aggregate principal amount of $85,000,000, and on September 2, 2026 in the aggregate principal amount of $12,750,000 pursuant to the underwriters fully exercising their over-allotment option (the “Existing Notes”). The Notes offered hereby will be treated as a single series with the Existing Notes under the indenture governing the Existing Notes and will have the same terms as the Existing Notes (except for the issue date and the offering price). The Notes offered hereby will have the same CUSIP number and will be fungible and rank equally with the Existing Notes. Upon the issuance of the Notes offered hereby, the outstanding aggregate principal amount of our 8.00% notes due 2031 will be $117,830,325 million, assuming no exercise of the underwriters’ over-allotment option. Unless the context otherwise requires, references herein to the “Notes” include the Notes offered hereby and the Existing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Notes in whole or in part at any time or from time to time on or after August 26, 2028, at the redemption price of par, plus accrued interest, as set forth under the section titled “Description of the Notes — Optional Redemption” in this prospectus supplement. The Notes will be issued in minimum denominations of $25 and integral multiples of $25 in excess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are our direct unsecured obligations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which means equal in right of payment, with all outstanding and future unsecured unsubordinated indebtedness issued by us, including, as of September 21, 2026, our $75.0 million principal amount of 4.35% Notes due 2027 (the “4.35% 2027 Notes”), our $15.0 million principal amount of 6.25% Notes due 2027 (the “6.25% 2027 Notes”), our $46.0 million principal amount of 8.00% Notes due 2027 (the “8.00% 2027 Notes”), our $60.4 million principal amount of 8.125% Notes due 2027 (the “8.125% 2027 Notes”), our $57.5 million principal amount of 8.50% Notes due 2028 (the “8.50% 2028 Notes”), our $25.0 million principal amount of 7.25% Notes due 2029 (the “7.25% 2029 Notes”), our $50.0 million principal amount of 7.25% Notes due 2030 (the “7.25% 2030 Notes”), and our $100.0 million principal amount of 7.50% Notes due 2031 (the “7.50% 2031 Notes”). Because the Notes are not secured by any of our assets, they are effectively subordinated to all of our existing and future secured indebtedness (or any indebtedness that is initially unsecured as to which we have granted or subsequently grant security), to the extent of the value of the assets securing such indebtedness. The Notes are structurally subordinated to all existing and future indebtedness and other obligations of any of our subsidiaries and financing vehicles, including, as of September 21, 2026, $37.5 million outstanding under our special purpose vehicle financing credit facility with Live Oak Banking Company (the “Live Oak Credit Facility”), $47.5 million outstanding under our special purpose vehicle financing credit facility with Valley National Bank (the “Valley Credit Facility”) (which we intend to repay a portion of the outstanding indebtedness thereunder using the proceeds from this offering), and $259.0 million outstanding in SBA-guaranteed debentures, because the Notes are obligations exclusively of Saratoga Investment Corp. and not of any of our subsidiaries. None of our subsidiaries is a guarantor of the Notes and the Notes are not required to be guaranteed by any subsidiary we may acquire or create in the future.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Notes, and any assets of our subsidiaries will not be directly available to satisfy the claims of our creditors, including holders of the Notes. For further information, see the section titled “Description of the Notes”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listed on the New York Stock Exchange under the trading symbol “SAX”. The Notes are expected to trade “flat.” This means that purchasers will not pay, and sellers will not receive, any accrued and unpaid interest on the Notes that is not included in the trading price. Although a public market for the Notes currently exists, there can be no assurance that one will be maintained.</w:t>
      </w:r>
    </w:p>
    <w:p>
      <w:pPr>
        <w:pStyle w:val="TextBody"/>
        <w:bidi w:val="0"/>
        <w:spacing w:before="0" w:after="0"/>
        <w:ind w:left="0" w:right="0" w:firstLine="479"/>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79"/>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or equal to, our general liabilities (other than amounts outstanding under the Valley Credit Facility, the Live Oak Credit Facility, and the SBA-guaranteed debentures). In total, these general liabilities were $16.2 million as of September 21, 2026. We currently do not have outstanding debt that is subordinated to the Notes and do not currently intend to issue indebtedness that expressly provides that it would be subordinated to the Notes. Therefore, the Notes are not senior to any of our indebtedness or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supplement and the accompanying prospectus, including the information incorporated by reference herein and therein, contain important information about us that a prospective investor should know before investing in the Notes. We also may authorize one or more free writing prospectuses to be provided to you in connection with this offering. You should carefully read this prospectus supplement, the accompanying prospectus, and any related free writing prospectus, and the documents incorporated by reference, before investing in the Notes. We file annual, quarterly and current reports, proxy statements and other information with the Securities and Exchange Commission (the “SEC”). This information is available free of charge by contacting us at 535 Madison Avenue, New York, New York 10022, by telephone at (212) 906-7800, or on our website at </w:t>
      </w:r>
      <w:r>
        <w:rPr>
          <w:rFonts w:ascii="Times New Roman;Times;Serif" w:hAnsi="Times New Roman;Times;Serif"/>
          <w:b w:val="false"/>
          <w:i/>
          <w:caps w:val="false"/>
          <w:smallCaps w:val="false"/>
          <w:sz w:val="20"/>
        </w:rPr>
        <w:t>www.saratogainvestmentcorp.com</w:t>
      </w:r>
      <w:r>
        <w:rPr>
          <w:rFonts w:ascii="Times New Roman;Times;Serif" w:hAnsi="Times New Roman;Times;Serif"/>
          <w:b w:val="false"/>
          <w:i w:val="false"/>
          <w:caps w:val="false"/>
          <w:smallCaps w:val="false"/>
          <w:sz w:val="20"/>
        </w:rPr>
        <w:t xml:space="preserve">. Information contained on our website is not incorporated by reference into this prospectus supplement or the accompanying prospectus, and you should not consider that information to be part of this prospectus supplement or the accompanying prospectus. The SEC also maintains a website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that contains information about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a high degree of risk, and should be considered highly speculative. See “Supplementary Risk Factors” beginning on page S-9 of this prospectus supplement and “Risk Factors” beginning on page 12 of the accompanying prospectus and in our most recent Annual Report on Form 10-K, and under similar headings in the other documents that are filed after the date hereof and incorporated by reference into this prospectus supplement and the accompanying prospectus to read about factors you should consider, including the risk of leverage, before investing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tbl>
      <w:tblPr>
        <w:tblW w:w="9844" w:type="dxa"/>
        <w:jc w:val="left"/>
        <w:tblInd w:w="0" w:type="dxa"/>
        <w:tblLayout w:type="fixed"/>
        <w:tblCellMar>
          <w:top w:w="0" w:type="dxa"/>
          <w:left w:w="0" w:type="dxa"/>
          <w:bottom w:w="0" w:type="dxa"/>
          <w:right w:w="0" w:type="dxa"/>
        </w:tblCellMar>
      </w:tblPr>
      <w:tblGrid>
        <w:gridCol w:w="6890"/>
        <w:gridCol w:w="90"/>
        <w:gridCol w:w="212"/>
        <w:gridCol w:w="737"/>
        <w:gridCol w:w="90"/>
        <w:gridCol w:w="90"/>
        <w:gridCol w:w="170"/>
        <w:gridCol w:w="1430"/>
        <w:gridCol w:w="135"/>
      </w:tblGrid>
      <w:tr>
        <w:trPr/>
        <w:tc>
          <w:tcPr>
            <w:tcW w:w="6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r>
              <w:rPr>
                <w:rFonts w:ascii="Times New Roman;Times;Serif" w:hAnsi="Times New Roman;Times;Serif"/>
                <w:b/>
                <w:position w:val="7"/>
                <w:sz w:val="16"/>
                <w:sz w:val="20"/>
              </w:rPr>
              <w:t>(1)(2)</w:t>
            </w:r>
          </w:p>
        </w:tc>
        <w:tc>
          <w:tcPr>
            <w:tcW w:w="135"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pPr>
            <w:r>
              <w:rPr/>
              <w:t>Public Offering Price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24.90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20,080,325</w:t>
            </w:r>
          </w:p>
        </w:tc>
        <w:tc>
          <w:tcPr>
            <w:tcW w:w="135" w:type="dxa"/>
            <w:tcBorders/>
            <w:shd w:fill="CCEEFF" w:val="clear"/>
            <w:vAlign w:val="center"/>
          </w:tcPr>
          <w:p>
            <w:pPr>
              <w:pStyle w:val="TableContents"/>
              <w:bidi w:val="0"/>
              <w:spacing w:before="0" w:after="283"/>
              <w:jc w:val="left"/>
              <w:rPr/>
            </w:pPr>
            <w:r>
              <w:rPr/>
              <w:t> </w:t>
            </w:r>
          </w:p>
        </w:tc>
      </w:tr>
      <w:tr>
        <w:trPr/>
        <w:tc>
          <w:tcPr>
            <w:tcW w:w="6890" w:type="dxa"/>
            <w:tcBorders/>
            <w:shd w:fill="FFFFFF" w:val="clear"/>
            <w:vAlign w:val="center"/>
          </w:tcPr>
          <w:p>
            <w:pPr>
              <w:pStyle w:val="TableContents"/>
              <w:bidi w:val="0"/>
              <w:spacing w:before="0" w:after="283"/>
              <w:jc w:val="left"/>
              <w:rPr/>
            </w:pPr>
            <w:r>
              <w:rPr/>
              <w:t>Sales Load (underwriting discounts and commissions)</w:t>
            </w:r>
          </w:p>
        </w:tc>
        <w:tc>
          <w:tcPr>
            <w:tcW w:w="9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737" w:type="dxa"/>
            <w:tcBorders/>
            <w:shd w:fill="FFFFFF" w:val="clear"/>
            <w:vAlign w:val="center"/>
          </w:tcPr>
          <w:p>
            <w:pPr>
              <w:pStyle w:val="TableContents"/>
              <w:bidi w:val="0"/>
              <w:spacing w:before="0" w:after="283"/>
              <w:jc w:val="right"/>
              <w:rPr/>
            </w:pPr>
            <w:r>
              <w:rPr/>
              <w:t>0.52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417,670.76</w:t>
            </w:r>
          </w:p>
        </w:tc>
        <w:tc>
          <w:tcPr>
            <w:tcW w:w="135" w:type="dxa"/>
            <w:tcBorders/>
            <w:shd w:fill="FFFFFF" w:val="clear"/>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the Company (before estimated expenses of approximately $150,000)</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24.38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19,582,332.94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283"/>
              <w:jc w:val="both"/>
              <w:rPr/>
            </w:pPr>
            <w:r>
              <w:rPr/>
              <w:t>Lucid Capital Markets, as representative of the underwriters, may exercise an option to purchase up to an additional $3,012,025 total aggregate principal amount of Notes offered hereby, within 30 days of the date of this prospectus supplement. If this option is exercised in full, the total public offering price will be $23,092,350, the total underwriting discount (sales load) paid by us will be approximately $488,320.88, and total proceeds to us, before estimated expenses, will be approximately $22,519,659.72.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(2)</w:t>
            </w:r>
          </w:p>
        </w:tc>
        <w:tc>
          <w:tcPr>
            <w:tcW w:w="9865" w:type="dxa"/>
            <w:tcBorders/>
            <w:vAlign w:val="center"/>
          </w:tcPr>
          <w:p>
            <w:pPr>
              <w:pStyle w:val="TableContents"/>
              <w:bidi w:val="0"/>
              <w:spacing w:before="0" w:after="283"/>
              <w:jc w:val="both"/>
              <w:rPr/>
            </w:pPr>
            <w:r>
              <w:rPr/>
              <w:t>Total offering expenses of the offering payable by us, excluding underwriting discounts and commissions, are estimated to be approximately $150,000. See “Underwriting” in this prospectus supplement for complete details of underwriters’ compensation.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set forth above does not include accrued and unpaid interest of $129,397.61 in the aggregate from August 26, 2026 up to, but not including, the date of delivery. On the initial interest payment date, November 30, 2026, we will pay this pre-issuance accrued interest to the holders of the Notes offered hereby as of the applicable record date along with the interest accrued on the Notes from the date of delivery to such interest payment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 ARE NOT DEPOSITS OR OTHER OBLIGATIONS OF A BANK AND ARE NOT INSURED BY THE FEDERAL DEPOSIT INSURANCE CORPORATION OR ANY OTHER GOVERNMENT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Notes offered hereby in book-entry form only through The Depository Trust Company (“DTC”) will be made on or about 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Book-Running Managers</w:t>
      </w:r>
    </w:p>
    <w:p>
      <w:pPr>
        <w:pStyle w:val="TextBody"/>
        <w:bidi w:val="0"/>
        <w:spacing w:before="0" w:after="0"/>
        <w:ind w:left="0" w:right="0" w:hanging="0"/>
        <w:jc w:val="center"/>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225"/>
        <w:gridCol w:w="1775"/>
      </w:tblGrid>
      <w:tr>
        <w:trPr/>
        <w:tc>
          <w:tcPr>
            <w:tcW w:w="2225" w:type="dxa"/>
            <w:tcBorders/>
            <w:vAlign w:val="center"/>
          </w:tcPr>
          <w:p>
            <w:pPr>
              <w:pStyle w:val="TableContents"/>
              <w:bidi w:val="0"/>
              <w:spacing w:before="0" w:after="283"/>
              <w:jc w:val="left"/>
              <w:rPr/>
            </w:pPr>
            <w:r>
              <w:rPr/>
              <w:t xml:space="preserve">Lucid Capital Markets </w:t>
            </w:r>
          </w:p>
        </w:tc>
        <w:tc>
          <w:tcPr>
            <w:tcW w:w="177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Oppenheimer &amp; Co.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000"/>
        <w:gridCol w:w="90"/>
        <w:gridCol w:w="515"/>
      </w:tblGrid>
      <w:tr>
        <w:trPr/>
        <w:tc>
          <w:tcPr>
            <w:tcW w:w="500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5000"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 SUPPLEMENT</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S-ii</w:t>
            </w:r>
          </w:p>
        </w:tc>
      </w:tr>
      <w:tr>
        <w:trPr/>
        <w:tc>
          <w:tcPr>
            <w:tcW w:w="5000"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PROSPECTUS SUPPLEMENT SUMMARY</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w:t>
            </w:r>
          </w:p>
        </w:tc>
      </w:tr>
      <w:tr>
        <w:trPr/>
        <w:tc>
          <w:tcPr>
            <w:tcW w:w="5000"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SPECIFIC TERMS OF THE NOTES AND THE OFFERING</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S-4</w:t>
            </w:r>
          </w:p>
        </w:tc>
      </w:tr>
      <w:tr>
        <w:trPr/>
        <w:tc>
          <w:tcPr>
            <w:tcW w:w="5000"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SUPPLEMENTARY RISK FACTORS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S-9</w:t>
            </w:r>
          </w:p>
        </w:tc>
      </w:tr>
      <w:tr>
        <w:trPr/>
        <w:tc>
          <w:tcPr>
            <w:tcW w:w="5000"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rPr>
                <w:t>NOTE ABOUT FORWARD-LOOKING STATEMENTS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S-14</w:t>
            </w:r>
          </w:p>
        </w:tc>
      </w:tr>
      <w:tr>
        <w:trPr/>
        <w:tc>
          <w:tcPr>
            <w:tcW w:w="5000"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rPr>
                <w:t>USE OF PROCEEDS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S-16</w:t>
            </w:r>
          </w:p>
        </w:tc>
      </w:tr>
      <w:tr>
        <w:trPr/>
        <w:tc>
          <w:tcPr>
            <w:tcW w:w="5000"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rPr>
                <w:t>CAPITALIZATION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S-17</w:t>
            </w:r>
          </w:p>
        </w:tc>
      </w:tr>
      <w:tr>
        <w:trPr/>
        <w:tc>
          <w:tcPr>
            <w:tcW w:w="5000"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rPr>
                <w:t>DESCRIPTION OF THE NOTES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S-18</w:t>
            </w:r>
          </w:p>
        </w:tc>
      </w:tr>
      <w:tr>
        <w:trPr/>
        <w:tc>
          <w:tcPr>
            <w:tcW w:w="5000"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rPr>
                <w:t>CERTAIN U.S. FEDERAL INCOME TAX CONSEQUENCES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S-28</w:t>
            </w:r>
          </w:p>
        </w:tc>
      </w:tr>
      <w:tr>
        <w:trPr/>
        <w:tc>
          <w:tcPr>
            <w:tcW w:w="5000"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rPr>
                <w:t>UNDERWRITING</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S-33</w:t>
            </w:r>
          </w:p>
        </w:tc>
      </w:tr>
      <w:tr>
        <w:trPr/>
        <w:tc>
          <w:tcPr>
            <w:tcW w:w="5000"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rPr>
                <w:t>LEGAL MATTERS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S-36</w:t>
            </w:r>
          </w:p>
        </w:tc>
      </w:tr>
      <w:tr>
        <w:trPr/>
        <w:tc>
          <w:tcPr>
            <w:tcW w:w="5000" w:type="dxa"/>
            <w:tcBorders/>
            <w:shd w:fill="FFFFFF" w:val="clear"/>
            <w:vAlign w:val="center"/>
          </w:tcPr>
          <w:p>
            <w:pPr>
              <w:pStyle w:val="TableContents"/>
              <w:bidi w:val="0"/>
              <w:spacing w:before="0" w:after="283"/>
              <w:jc w:val="left"/>
              <w:rPr/>
            </w:pPr>
            <w:hyperlink w:anchor="s_012">
              <w:r>
                <w:rPr>
                  <w:rStyle w:val="InternetLink"/>
                  <w:rFonts w:ascii="Times New Roman;Times;Serif" w:hAnsi="Times New Roman;Times;Serif"/>
                  <w:sz w:val="20"/>
                </w:rPr>
                <w:t>AVAILABLE INFORMATION</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S-36</w:t>
            </w:r>
          </w:p>
        </w:tc>
      </w:tr>
      <w:tr>
        <w:trPr/>
        <w:tc>
          <w:tcPr>
            <w:tcW w:w="5000" w:type="dxa"/>
            <w:tcBorders/>
            <w:shd w:fill="CCEEFF" w:val="clear"/>
            <w:vAlign w:val="center"/>
          </w:tcPr>
          <w:p>
            <w:pPr>
              <w:pStyle w:val="TableContents"/>
              <w:bidi w:val="0"/>
              <w:spacing w:before="0" w:after="283"/>
              <w:jc w:val="left"/>
              <w:rPr/>
            </w:pPr>
            <w:hyperlink w:anchor="s_013">
              <w:r>
                <w:rPr>
                  <w:rStyle w:val="InternetLink"/>
                  <w:rFonts w:ascii="Times New Roman;Times;Serif" w:hAnsi="Times New Roman;Times;Serif"/>
                  <w:sz w:val="20"/>
                </w:rPr>
                <w:t>INCORPORATION BY REFERENCE</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80"/>
        <w:gridCol w:w="90"/>
        <w:gridCol w:w="635"/>
      </w:tblGrid>
      <w:tr>
        <w:trPr/>
        <w:tc>
          <w:tcPr>
            <w:tcW w:w="9480" w:type="dxa"/>
            <w:tcBorders/>
            <w:vAlign w:val="center"/>
          </w:tcPr>
          <w:p>
            <w:pPr>
              <w:pStyle w:val="TableContents"/>
              <w:bidi w:val="0"/>
              <w:spacing w:before="0" w:after="283"/>
              <w:jc w:val="left"/>
              <w:rPr>
                <w:caps/>
              </w:rPr>
            </w:pPr>
            <w:r>
              <w:rPr>
                <w:caps/>
              </w:rPr>
              <w:t> </w:t>
            </w:r>
          </w:p>
        </w:tc>
        <w:tc>
          <w:tcPr>
            <w:tcW w:w="90" w:type="dxa"/>
            <w:tcBorders/>
            <w:vAlign w:val="center"/>
          </w:tcPr>
          <w:p>
            <w:pPr>
              <w:pStyle w:val="TableContents"/>
              <w:bidi w:val="0"/>
              <w:spacing w:before="0" w:after="283"/>
              <w:jc w:val="left"/>
              <w:rPr>
                <w:caps/>
              </w:rPr>
            </w:pPr>
            <w:r>
              <w:rPr>
                <w:caps/>
              </w:rPr>
              <w:t> </w:t>
            </w:r>
          </w:p>
        </w:tc>
        <w:tc>
          <w:tcPr>
            <w:tcW w:w="635" w:type="dxa"/>
            <w:tcBorders>
              <w:bottom w:val="single" w:sz="12"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caps/>
                <w:sz w:val="20"/>
              </w:rPr>
            </w:pPr>
            <w:r>
              <w:rPr>
                <w:rFonts w:ascii="Times New Roman;Times;Serif" w:hAnsi="Times New Roman;Times;Serif"/>
                <w:b/>
                <w:caps/>
                <w:sz w:val="20"/>
              </w:rPr>
              <w:t>Page</w:t>
            </w:r>
          </w:p>
        </w:tc>
      </w:tr>
      <w:tr>
        <w:trPr/>
        <w:tc>
          <w:tcPr>
            <w:tcW w:w="948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caps/>
                  <w:sz w:val="20"/>
                </w:rPr>
                <w:t>Prospectus Summary</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w:t>
            </w:r>
          </w:p>
        </w:tc>
      </w:tr>
      <w:tr>
        <w:trPr/>
        <w:tc>
          <w:tcPr>
            <w:tcW w:w="94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caps/>
                  <w:sz w:val="20"/>
                </w:rPr>
                <w:t>The Offering</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5</w:t>
            </w:r>
          </w:p>
        </w:tc>
      </w:tr>
      <w:tr>
        <w:trPr/>
        <w:tc>
          <w:tcPr>
            <w:tcW w:w="94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caps/>
                  <w:sz w:val="20"/>
                </w:rPr>
                <w:t>Fees and Expenses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w:t>
            </w:r>
          </w:p>
        </w:tc>
      </w:tr>
      <w:tr>
        <w:trPr/>
        <w:tc>
          <w:tcPr>
            <w:tcW w:w="94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caps/>
                  <w:sz w:val="20"/>
                </w:rPr>
                <w:t>Financial Highlights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11</w:t>
            </w:r>
          </w:p>
        </w:tc>
      </w:tr>
      <w:tr>
        <w:trPr/>
        <w:tc>
          <w:tcPr>
            <w:tcW w:w="948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caps/>
                  <w:sz w:val="20"/>
                </w:rPr>
                <w:t>Risk Factors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12</w:t>
            </w:r>
          </w:p>
        </w:tc>
      </w:tr>
      <w:tr>
        <w:trPr/>
        <w:tc>
          <w:tcPr>
            <w:tcW w:w="948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caps/>
                  <w:sz w:val="20"/>
                </w:rPr>
                <w:t>Use of Proceeds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13</w:t>
            </w:r>
          </w:p>
        </w:tc>
      </w:tr>
      <w:tr>
        <w:trPr/>
        <w:tc>
          <w:tcPr>
            <w:tcW w:w="948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caps/>
                  <w:sz w:val="20"/>
                </w:rPr>
                <w:t>Special Note Regarding Forward-Looking Statements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14</w:t>
            </w:r>
          </w:p>
        </w:tc>
      </w:tr>
      <w:tr>
        <w:trPr/>
        <w:tc>
          <w:tcPr>
            <w:tcW w:w="948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caps/>
                  <w:sz w:val="20"/>
                </w:rPr>
                <w:t>Price Range of Common Stock and Distributions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16</w:t>
            </w:r>
          </w:p>
        </w:tc>
      </w:tr>
      <w:tr>
        <w:trPr/>
        <w:tc>
          <w:tcPr>
            <w:tcW w:w="94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caps/>
                  <w:sz w:val="20"/>
                </w:rPr>
                <w:t>Dividend Reinvestment Plan</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17</w:t>
            </w:r>
          </w:p>
        </w:tc>
      </w:tr>
      <w:tr>
        <w:trPr/>
        <w:tc>
          <w:tcPr>
            <w:tcW w:w="94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caps/>
                  <w:sz w:val="20"/>
                </w:rPr>
                <w:t>Management’s Discussion and Analysis of Financial Condition and Results of Operations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18</w:t>
            </w:r>
          </w:p>
        </w:tc>
      </w:tr>
      <w:tr>
        <w:trPr/>
        <w:tc>
          <w:tcPr>
            <w:tcW w:w="94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caps/>
                  <w:sz w:val="20"/>
                </w:rPr>
                <w:t>Senior Securities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19</w:t>
            </w:r>
          </w:p>
        </w:tc>
      </w:tr>
      <w:tr>
        <w:trPr/>
        <w:tc>
          <w:tcPr>
            <w:tcW w:w="948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caps/>
                  <w:sz w:val="20"/>
                </w:rPr>
                <w:t>The Company</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20</w:t>
            </w:r>
          </w:p>
        </w:tc>
      </w:tr>
      <w:tr>
        <w:trPr/>
        <w:tc>
          <w:tcPr>
            <w:tcW w:w="948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caps/>
                  <w:sz w:val="20"/>
                </w:rPr>
                <w:t>Portfolio Companies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21</w:t>
            </w:r>
          </w:p>
        </w:tc>
      </w:tr>
      <w:tr>
        <w:trPr/>
        <w:tc>
          <w:tcPr>
            <w:tcW w:w="948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caps/>
                  <w:sz w:val="20"/>
                </w:rPr>
                <w:t>Management</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34</w:t>
            </w:r>
          </w:p>
        </w:tc>
      </w:tr>
      <w:tr>
        <w:trPr/>
        <w:tc>
          <w:tcPr>
            <w:tcW w:w="948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caps/>
                  <w:sz w:val="20"/>
                </w:rPr>
                <w:t>Management and Other Agreements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35</w:t>
            </w:r>
          </w:p>
        </w:tc>
      </w:tr>
      <w:tr>
        <w:trPr/>
        <w:tc>
          <w:tcPr>
            <w:tcW w:w="948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caps/>
                  <w:sz w:val="20"/>
                </w:rPr>
                <w:t>Portfolio Management</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36</w:t>
            </w:r>
          </w:p>
        </w:tc>
      </w:tr>
      <w:tr>
        <w:trPr/>
        <w:tc>
          <w:tcPr>
            <w:tcW w:w="948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caps/>
                  <w:sz w:val="20"/>
                </w:rPr>
                <w:t>Certain Relationships and Related Transactions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37</w:t>
            </w:r>
          </w:p>
        </w:tc>
      </w:tr>
      <w:tr>
        <w:trPr/>
        <w:tc>
          <w:tcPr>
            <w:tcW w:w="948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caps/>
                  <w:sz w:val="20"/>
                </w:rPr>
                <w:t>Control Persons and Principal Stockholders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38</w:t>
            </w:r>
          </w:p>
        </w:tc>
      </w:tr>
      <w:tr>
        <w:trPr/>
        <w:tc>
          <w:tcPr>
            <w:tcW w:w="948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caps/>
                  <w:sz w:val="20"/>
                </w:rPr>
                <w:t>Regulation</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39</w:t>
            </w:r>
          </w:p>
        </w:tc>
      </w:tr>
      <w:tr>
        <w:trPr/>
        <w:tc>
          <w:tcPr>
            <w:tcW w:w="948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caps/>
                  <w:sz w:val="20"/>
                </w:rPr>
                <w:t>Certain U.S. Federal Income Tax Considerations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40</w:t>
            </w:r>
          </w:p>
        </w:tc>
      </w:tr>
      <w:tr>
        <w:trPr/>
        <w:tc>
          <w:tcPr>
            <w:tcW w:w="948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caps/>
                  <w:sz w:val="20"/>
                </w:rPr>
                <w:t>Determination of Net Asset Value</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47</w:t>
            </w:r>
          </w:p>
        </w:tc>
      </w:tr>
      <w:tr>
        <w:trPr/>
        <w:tc>
          <w:tcPr>
            <w:tcW w:w="948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caps/>
                  <w:sz w:val="20"/>
                </w:rPr>
                <w:t>Sales of Common Stock Below Net Asset Value</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50</w:t>
            </w:r>
          </w:p>
        </w:tc>
      </w:tr>
      <w:tr>
        <w:trPr/>
        <w:tc>
          <w:tcPr>
            <w:tcW w:w="948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caps/>
                  <w:sz w:val="20"/>
                </w:rPr>
                <w:t>Description of Our Capital Stock</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54</w:t>
            </w:r>
          </w:p>
        </w:tc>
      </w:tr>
      <w:tr>
        <w:trPr/>
        <w:tc>
          <w:tcPr>
            <w:tcW w:w="9480"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caps/>
                  <w:sz w:val="20"/>
                </w:rPr>
                <w:t>Description of Our Subscription Rights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60</w:t>
            </w:r>
          </w:p>
        </w:tc>
      </w:tr>
      <w:tr>
        <w:trPr/>
        <w:tc>
          <w:tcPr>
            <w:tcW w:w="948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caps/>
                  <w:sz w:val="20"/>
                </w:rPr>
                <w:t>Description of Our Debt Securities</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61</w:t>
            </w:r>
          </w:p>
        </w:tc>
      </w:tr>
      <w:tr>
        <w:trPr/>
        <w:tc>
          <w:tcPr>
            <w:tcW w:w="9480"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caps/>
                  <w:sz w:val="20"/>
                </w:rPr>
                <w:t>Description of Our Warrants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74</w:t>
            </w:r>
          </w:p>
        </w:tc>
      </w:tr>
      <w:tr>
        <w:trPr/>
        <w:tc>
          <w:tcPr>
            <w:tcW w:w="9480"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caps/>
                  <w:sz w:val="20"/>
                </w:rPr>
                <w:t>Plan of Distribution</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76</w:t>
            </w:r>
          </w:p>
        </w:tc>
      </w:tr>
      <w:tr>
        <w:trPr/>
        <w:tc>
          <w:tcPr>
            <w:tcW w:w="9480" w:type="dxa"/>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caps/>
                  <w:sz w:val="20"/>
                </w:rPr>
                <w:t>Brokerage Allocation and Other Practices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78</w:t>
            </w:r>
          </w:p>
        </w:tc>
      </w:tr>
      <w:tr>
        <w:trPr/>
        <w:tc>
          <w:tcPr>
            <w:tcW w:w="9480"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caps/>
                  <w:sz w:val="20"/>
                </w:rPr>
                <w:t>Custodian, Transfer and Dividend Paying Agent and Registrar</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79</w:t>
            </w:r>
          </w:p>
        </w:tc>
      </w:tr>
      <w:tr>
        <w:trPr/>
        <w:tc>
          <w:tcPr>
            <w:tcW w:w="9480" w:type="dxa"/>
            <w:tcBorders/>
            <w:shd w:fill="FFFFFF" w:val="clear"/>
            <w:vAlign w:val="center"/>
          </w:tcPr>
          <w:p>
            <w:pPr>
              <w:pStyle w:val="TableContents"/>
              <w:bidi w:val="0"/>
              <w:spacing w:before="0" w:after="283"/>
              <w:jc w:val="left"/>
              <w:rPr/>
            </w:pPr>
            <w:hyperlink w:anchor="a_030">
              <w:r>
                <w:rPr>
                  <w:rStyle w:val="InternetLink"/>
                  <w:rFonts w:ascii="Times New Roman;Times;Serif" w:hAnsi="Times New Roman;Times;Serif"/>
                  <w:caps/>
                  <w:sz w:val="20"/>
                </w:rPr>
                <w:t>Legal Matters</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80</w:t>
            </w:r>
          </w:p>
        </w:tc>
      </w:tr>
      <w:tr>
        <w:trPr/>
        <w:tc>
          <w:tcPr>
            <w:tcW w:w="9480"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caps/>
                  <w:sz w:val="20"/>
                </w:rPr>
                <w:t>Independent Registered Public Accounting Firm</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81</w:t>
            </w:r>
          </w:p>
        </w:tc>
      </w:tr>
      <w:tr>
        <w:trPr/>
        <w:tc>
          <w:tcPr>
            <w:tcW w:w="9480" w:type="dxa"/>
            <w:tcBorders/>
            <w:shd w:fill="FFFFFF" w:val="clear"/>
            <w:vAlign w:val="center"/>
          </w:tcPr>
          <w:p>
            <w:pPr>
              <w:pStyle w:val="TableContents"/>
              <w:bidi w:val="0"/>
              <w:spacing w:before="0" w:after="283"/>
              <w:jc w:val="left"/>
              <w:rPr/>
            </w:pPr>
            <w:hyperlink w:anchor="a_032">
              <w:r>
                <w:rPr>
                  <w:rStyle w:val="InternetLink"/>
                  <w:rFonts w:ascii="Times New Roman;Times;Serif" w:hAnsi="Times New Roman;Times;Serif"/>
                  <w:caps/>
                  <w:sz w:val="20"/>
                </w:rPr>
                <w:t>Available Information</w:t>
              </w:r>
            </w:hyperlink>
          </w:p>
        </w:tc>
        <w:tc>
          <w:tcPr>
            <w:tcW w:w="90" w:type="dxa"/>
            <w:tcBorders/>
            <w:shd w:fill="FFFFFF" w:val="clear"/>
            <w:vAlign w:val="center"/>
          </w:tcPr>
          <w:p>
            <w:pPr>
              <w:pStyle w:val="TableContents"/>
              <w:bidi w:val="0"/>
              <w:spacing w:before="0" w:after="283"/>
              <w:jc w:val="left"/>
              <w:rPr>
                <w:caps/>
              </w:rPr>
            </w:pPr>
            <w:r>
              <w:rPr>
                <w:caps/>
              </w:rPr>
              <w:t> </w:t>
            </w:r>
          </w:p>
        </w:tc>
        <w:tc>
          <w:tcPr>
            <w:tcW w:w="635" w:type="dxa"/>
            <w:tcBorders/>
            <w:shd w:fill="FFFFFF" w:val="clear"/>
            <w:vAlign w:val="center"/>
          </w:tcPr>
          <w:p>
            <w:pPr>
              <w:pStyle w:val="TableContents"/>
              <w:bidi w:val="0"/>
              <w:spacing w:before="0" w:after="283"/>
              <w:ind w:left="0" w:right="0" w:hanging="200"/>
              <w:jc w:val="center"/>
              <w:rPr>
                <w:rFonts w:ascii="Times New Roman;Times;Serif" w:hAnsi="Times New Roman;Times;Serif"/>
                <w:caps/>
                <w:sz w:val="20"/>
              </w:rPr>
            </w:pPr>
            <w:r>
              <w:rPr>
                <w:rFonts w:ascii="Times New Roman;Times;Serif" w:hAnsi="Times New Roman;Times;Serif"/>
                <w:caps/>
                <w:sz w:val="20"/>
              </w:rPr>
              <w:t>82</w:t>
            </w:r>
          </w:p>
        </w:tc>
      </w:tr>
      <w:tr>
        <w:trPr/>
        <w:tc>
          <w:tcPr>
            <w:tcW w:w="9480"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caps/>
                  <w:sz w:val="20"/>
                </w:rPr>
                <w:t>Incorporation Of Certain Information by Reference</w:t>
              </w:r>
            </w:hyperlink>
          </w:p>
        </w:tc>
        <w:tc>
          <w:tcPr>
            <w:tcW w:w="90" w:type="dxa"/>
            <w:tcBorders/>
            <w:shd w:fill="CCEEFF" w:val="clear"/>
            <w:vAlign w:val="center"/>
          </w:tcPr>
          <w:p>
            <w:pPr>
              <w:pStyle w:val="TableContents"/>
              <w:bidi w:val="0"/>
              <w:spacing w:before="0" w:after="283"/>
              <w:jc w:val="left"/>
              <w:rPr>
                <w:caps/>
              </w:rPr>
            </w:pPr>
            <w:r>
              <w:rPr>
                <w:caps/>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83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N-2 (File No. 333-292765) utilizing a shelf registration process relating to the securities described in this prospectus supplement, which registration statement was declared effective on March 11, 2026. This document is in two parts. The first part is this prospectus supplement, which describes the terms of this offering of the Notes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us and the securities we may offer from time to time, some of which may not apply to this offering. To the extent the information contained in this prospectus supplement differs from or is additional to the information contained in the accompanying prospectus or the information included in any document filed prior to the date of this prospectus supplement and incorporated by reference,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You should carefully read this prospectus supplement, the accompanying prospectus, and any related free writing prospectus, and the documents incorporated by reference, particularly the information described under the “Supplementary Risk Factors” included in this prospectus supplement, “Risk Factors” included in the accompanying prospectus and our most recently filed Annual Report on Form 10-K, and under similar headings in the other documents incorporated by reference into this prospectus supplement and the accompanying prospectus, before investing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included or incorporated by reference in this prospectus supplement, the accompanying prospectus, or any free writing prospectuses prepared by, or on behalf of, us that relates to this offering of the Notes. Neither we nor the underwriters have authorized any dealer, salesperson or other person to provide you with different information or to make representations as to matters not stated in this prospectus supplement, the accompanying prospectus or any free writing prospectus prepared by, or on behalf of, us that relates to this offering of the Notes. Neither we nor the underwriters take responsibility for, and can provide no assurance as to the reliability of, any other information that others may give you. If anyone provides you with different or inconsistent information, you should not rely on it. This prospectus supplement, the accompanying prospectus and any free writing prospectus prepared by, or on behalf of, us that relates to this offering of the Notes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in this prospectus supplement and the accompanying prospectus or any free writing prospectus is complete and accurate as of any date other than their respective dates, or that any information incorporated by reference herein or therein is complete and accurate as of any date other than the date of the document incorporated by reference containing such information, or that the affairs of Saratoga Investment Corp., have not changed since the date hereof or thereof. Our business, financial condition, results of operations and prospects may have changed since then. To the extent required by law, we will amend or supplement the information contained in this prospectus supplement and the accompanying prospectus to reflect any material changes subsequent to the date of this prospectus supplement and the accompanying prospectus and prior to the completion of any offering pursuant to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determined if this prospectus supplement and the accompanying prospectus are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s_002"/>
      <w:bookmarkEnd w:id="3"/>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some of the information included elsewhere or incorporated by reference in this prospectus supplement or the accompanying prospectus. It is not complete and may not contain all of the information that you should consider before making your investment decision to invest in the Notes offered hereby. To understand the terms of the Notes offered hereby before making your investment decision, you should carefully read this entire prospectus supplement, the accompanying prospectus, any free writing prospectus relating to this offering and the documents incorporated by reference in this prospectus supplement and the accompanying prospectus, as provided in sections titled “Available Information” and “Incorporation by Reference” beginning on page S-37 in this prospectus supplement and beginning on page 83 of the accompanying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You should read carefully the more detailed information set forth under “Supplementary Risk Factors” and “Risk Factors” and the other information included in this prospectus supplement and the accompanying prospectus. Unless otherwise noted, the terms “we,” “us,” “our,” the “Company” and “Saratoga” refer to Saratoga Investment Corp. and its wholly owned subsidiaries, Saratoga Investment Funding II LLC (“SIF II”), Saratoga Investment Funding III LLC (“SIF III”), Saratoga Investment Corp. SBIC II LP (“SBIC II LP”), and Saratoga Investment Corp. SBIC III LP (“SBIC III LP” and together with SBIC II LP, the “SBIC Subsidiaries”) and does not refer to Saratoga Investment Corp. CLO 2013-1 Ltd. In addition, the terms “Saratoga Investment Advisors” and “investment adviser” refer to Saratoga Investment Advisors, LLC, our external investment adviser.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specialty finance company that provides customized financing solutions to U.S. middle-market businesses. We primarily invest in senior and unitranche leveraged loans and mezzanine debt and, to a lesser extent, equity issued by private U.S. middle-market companies, which we define as companies having annual earnings before interest, taxes, depreciation and amortization (“EBITDA”) of between $2 million and $50 million, both through direct lending and through participation in loan syndicates. Our investment objective is to create attractive risk-adjusted returns by generating current income and long-term capital appreciation from our investments. Our investments generally provide financing for change of ownership transactions, strategic acquisitions, recapitalizations and growth initiatives in partnership with business owners, management teams and financial sponsors. Our investment activities are externally managed and advised by Saratoga Investment Advisors, a New York-based investment firm affiliated with Saratoga Partners, a middle-market private equity investment firm.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portfolio is comprised primarily of investments in leveraged loans issued by middle-market companies. Leveraged loans are generally senior debt instruments that rank ahead of subordinated debt with below investment grade or “junk” ratings or, if not rated, would be rated below investment grade or “junk” and, as a result, carry a higher risk of default.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invest in mezzanine debt and make equity investments in middle-market companies. Mezzanine debt is typically unsecured and subordinated to senior debt of the portfolio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While our primary focus is to generate current income and capital appreciation from our debt and equity investments in middle-market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Although we have no current intention to do so, we may invest in private equity funds in the future. Private equity funds are not limited in how they invest their assets, and the underlying investments held by private equity funds may impact our strategies, risks, and costs. Shareholders may have limited information about the underlying investments of the private equity funds in which we invest, including with respect to such funds’ holdings, liquidity, and valuation.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May 31, 2026, we had total assets of $1.2 billion and investments in 50 portfolio companies, excluding our investment in the subordinated notes and the Class F-2-R-3 Notes of Saratoga Investment Corp. CLO 2013-1, Ltd., a collateralized loan obligation fund (“Saratoga CLO”), each of which had a fair value of $0.0 million, as of May 31, 2026, our investment in the unsecured notes and equity interests in Saratoga Senior Loan Fund I JV LLC, a joint venture that we co-manage with TJHA JV I LLC (“SLF JV”), which had a fair value of $15.7 million and $5.0 million as of May 31, 2026, respectively, and our investment in the Class E-R Notes of Saratoga Investment Corp Senior Loan Fund 2022-1 Ltd., a wholly owned subsidiary of SLF JV (“SLF 2022”), which had a fair value of $8.3 million as of May 31, 2026. The overall portfolio composition as of May 31, 2026 consisted of 81.7% of first lien term loans, 3.8% of second lien term loans, 1.4% of unsecured term loans, 5.9% of structured finance securities and 7.2% of equity interests. As of May 31, 2026, the weighted average yield on all of our investments, including our investment in the subordinated notes and the Class F-2-R-3 Notes of Saratoga CLO, our investment in the Class E-R Notes of SLF 2022, and our investment in the unsecured notes and equity interests of SLF JV, was approximately 9.8%. The weighted average yield of our investments is not the same as a return on investment for our stockholders and, among other things, is calculated before the payment of our fees and expenses.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externally managed, closed-end, non-diversified management investment company that has elected to be regulated as a BDC under the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 after such borrowing, or, if we obtain the required approvals from our directors who are not “independent persons” (as defined in Section 2(a)(19) of the 1940 Act) of the Company (“independent directors”) and/or stockholders, 150%. On April 16, 2018, as permitted by the Small Business Credit Availability Act, which was signed into law on March 23, 2018, our board of directors, including a majority of our independent directors, approved of our becoming subject to a minimum asset coverage ratio of 150% under Sections 18(a)(1) and 18(a)(2) of the 1940 Act. The 150% asset coverage ratio became effective on April 16, 2019.</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be treated, and intend to qualify annually, as a regulated investment company (“RIC”), under subchapter M of the Internal Revenue Code of 1986, as amended (the “Code”). As a RIC, we generally will not be subject to U.S. federal income tax on any net ordinary income or capital gains that we timely distribute to our stockholders if we meet certain source-of-income, annual distribution and asset-diversification requirements.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wholly owned subsidiaries, SBIC II LP and SBIC III LP, received licenses to operate as small business investment companies (“SBIC”) from the Small Business Administration (the “SBA”) on August 14, 2019 and September 29, 2022, respectively. Each of the SBIC Subsidiaries provides up to $175.0 million in long-term capital in the form of debentures guaranteed by the SBA. The SBIC Subsidiaries are regulated by the SBA. Under current SBIC regulations, for two or more SBICs under common control, the maximum amount of outstanding SBA debentures cannot exceed $350.0 million with at least $175.0 million in combined regulatory capital. The SBIC Subsidiaries are able to borrow funds from the SBA against the SBIC’s regulatory capital (which generally approximates equity capital in the respective SBIC) and is subject to customary regulatory requirements, including, but not limited to, periodic examination by the SBA.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received exemptive relief from the SEC to permit us to exclude the senior securities issued by the SBIC Subsidiaries from the definition of senior securities in the asset coverage requirement under the 1940 Act. This allows the Company increased flexibility under the asset coverage requirement by permitting it to borrow up to $350.0 million more than it would otherwise be able to absent the receipt of this exemptive relief.</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established wholly owned subsidiaries SIA-AAP, Inc., SIA-SAIS, Inc., SIA-ARC, Inc., SIA-Avionte, Inc., SIA-AX, Inc., SIA-G4, Inc., SIA-GH, Inc., SIA-SGA, Inc., SIA-PP, Inc., SIA-SIQ, Inc., SIA-SZ, Inc., SIA-TG, Inc., SIA-TT, Inc., SIA-Vector, Inc., and SIA-YUMI, Inc., which are structured as Delaware entities that are treated as corporations for U.S. federal income tax purposes and are intended to facilitate our compliance with the requirements to be treated as a RIC under the Code by holding equity or equity-like investments in portfolio companies organized as limited liability companies, or LLCs (or other forms of pass through entities). These entities are consolidated for accounting purposes but are not consolidated for U.S. federal income tax purposes and may incur U.S. federal income tax expense as a result of their ownership of portfolio companies.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October 26, 2021, the Company and TJHA JV I LLC entered into a Limited Liability Company Agreement to co-manage SLF JV. SLF JV is a joint venture that invests in the debt or equity interests of collateralized loan obligations, loans, notes and other debt instruments.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Saratoga Investment Advisors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General</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Saratoga Investment Advisors was formed in 2010 as a Delaware limited liability company and became our investment adviser in July 2010. Saratoga Investment Advisors is led by four principals, Christian L. Oberbeck, Michael J. Grisius, Thomas V. Inglesby, and Charles G. Phillips, with over 38, 33, 39, and 28 years of experience in leveraged finance, respectively, and the Chief Financial Officer, Chief Compliance Officer, Treasurer, and Secretary, Henri J. Steenkamp, who has 26 years of experience in financial services and leveraged finance. Saratoga Investment Advisors is affiliated with Saratoga Partners, a middle-market private equity investment firm. Saratoga Partners was established in 1984 to be the middle-market private investment arm of Dillon Read &amp; Co. Inc. and has been independent of Dillon Read &amp; Co. Inc., and its successor entity, SBC Warburg Dillon Read, since 1998. Saratoga Partners has a 36-year history of private investments in middle-market companies and focuses on public and private equity, preferred stock, and senior and mezzanine debt investments.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Our Relationship with Saratoga Investment Advisors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entered into an investment advisory and management agreement (the “Management Agreement”) with Saratoga Investment Advisors. Pursuant to the 1940 Act, the initial term of the Management Agreement was for two years from its effective date of July 30, 2010, and will remain in effect on a year-to-year basis if approved annually at an in-person meeting of the board of directors, a majority of whom must be independent directors. Most recently, our board of directors approved the renewal of the Management Agreement for an additional one-year term at an in-person meeting held on July 6, 2026.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 transactions, asset sales, financings and performing asset management duties.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Relating to our Business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business is subject to numerous risks, as described in the section titled “Supplementary Risk Factors” in this prospectus supplement, “Risk Factors” 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“Risk Factors” included in our most recent Annual Report on Form 10-K, in our most recent Quarterly Report on Form 10-Q, as well as in any of our subsequent SEC filings.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Recent Developments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Issuance of the 8.00% 2027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26, 2026, the Company issued $85,000,000 in aggregate principal amount of the Existing Notes, and, on September 2, 2026, the underwriters fully exercised their option to purchase an additional $12,750,000 in aggregate principal amount of the Existing Notes.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Redemption of the 6.00% 2027 Notes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18, 2026, the Company redeemed, in full, $105,500,000 aggregate principal amount of the issued and outstanding 6.00% 2027 Notes. The 6.00% 2027 Notes were redeemed at 100% of their principal amount, plus the accrued and unpaid interest thereon, through, but excluding, the date of redemption.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Management Changes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16, 2026, Henri J. Steenkamp notified the Board that he was stepping down as the Chief Financial Officer, Chief Compliance Officer, Treasurer and Secretary of the Company for health-related reasons, effective as of October 31, 2026 (the “</w:t>
      </w:r>
      <w:r>
        <w:rPr>
          <w:rFonts w:ascii="Times New Roman;Times;Serif" w:hAnsi="Times New Roman;Times;Serif"/>
          <w:b/>
          <w:i/>
          <w:caps w:val="false"/>
          <w:smallCaps w:val="false"/>
          <w:sz w:val="20"/>
          <w:bdr w:val="single" w:sz="12" w:space="1" w:color="000000"/>
        </w:rPr>
        <w:t>Effective Date</w:t>
      </w:r>
      <w:r>
        <w:rPr>
          <w:rFonts w:ascii="Times New Roman;Times;Serif" w:hAnsi="Times New Roman;Times;Serif"/>
          <w:b w:val="false"/>
          <w:i w:val="false"/>
          <w:caps w:val="false"/>
          <w:smallCaps w:val="false"/>
          <w:sz w:val="20"/>
          <w:bdr w:val="single" w:sz="12" w:space="1" w:color="000000"/>
        </w:rPr>
        <w:t>”). Mr. Steenkamp will continue to support the Company in a consulting capacity following the transition, providing continuity and institutional knowledge as the Company implements its expanded leadership structure. Mr. Steenkamp also will continue to serve as a member of the Board and the Chief Financial Officer of the SBIC Subsidiaries, where he will continue to contribute his long-standing knowledge of the Company’s business, investment platform, governance practices and strategic priorities. Mr. Steenkamp did not express any disagreement on any matter relating to the Company’s operations, policies or practices.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18, 2026, the Board promoted Christine Ramdihal, the Controller of the Company, to the positions of Chief Accounting Officer and Treasurer of the Company, effective as of the Effective Date. As of the Effective Date, Ms. Ramdihal will be the Company’s principal financial officer. Ms. Ramdihal has served as Controller of Saratoga Investment Advisors since 2021, following four years with Saratoga Investment Advisors as Assistant Controller. Ms. Ramdihal brings significant accounting, financial-reporting and audit experience to her expanded role. Prior to joining Saratoga Investment Advisors almost ten years ago, she spent seven years in external audit roles at CBIZ and BDO, serving clients in both general assurance and financial-services practices.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18, 2026, the Board also promoted Rochelle Kracoff, the Assistant Chief Compliance Officer and Treasury Manager of the Company, to the positions of Chief Compliance Officer and Secretary of the Company, effective as of the Effective Date. Ms. Kracoff has served as Assistant Chief Compliance Officer and Treasury Manager at Saratoga Investment Advisors since 2021, following four years with Saratoga Investment Advisors as Compliance Manager. In her expanded role, she will continue to oversee the Company’s compliance program and support the Company’s continued focus on regulatory adherence, governance and risk management. Before joining Saratoga Investment in 2017, Ms. Kracoff held legal and compliance roles at Visium Asset Management and earlier legal-operations positions.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s_003"/>
      <w:bookmarkEnd w:id="4"/>
      <w:r>
        <w:rPr>
          <w:rFonts w:ascii="Times New Roman;Times;Serif" w:hAnsi="Times New Roman;Times;Serif"/>
          <w:b/>
          <w:i w:val="false"/>
          <w:caps w:val="false"/>
          <w:smallCaps w:val="false"/>
          <w:sz w:val="20"/>
          <w:bdr w:val="single" w:sz="12" w:space="1" w:color="000000"/>
        </w:rPr>
        <w:t>SPECIFIC TERMS OF THE NOTES AND THE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summary sets forth certain terms of the Notes that we are offering pursuant to this prospectus supplement and the accompanying prospectus. On August 26, 2026, we and U.S. Bank Trust Company, National Association, as trustee (the “trustee”) entered into the eighteenth supplemental indenture to the indenture, dated as of May 10, 2013, relating to the Existing Notes. We will issue the Notes offered hereby under the same base indenture and the eighteenth supplemental indenture, which we refer to collectively as the “indenture.” The Notes offered hereby will be a further issuance of, rank equally in right of payment with, and form a single series with the Existing Notes for all purposes under the indenture, including, without limitation, waivers, amendments, consents, redemptions and other offers to purchase and voting. We refer to the “Notes” and the “Existing Notes” separately within this prospectus supplement because only the Notes are being offered hereby, but any general discussion of the terms of the Notes also would apply to the Existing Notes because they are treated as a single series under the indenture.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section and the “Description of the Notes” section in this prospectus supplement outline the specific legal and financial terms of the Notes. You should read this section of the prospectus supplement together with the section titled “Description of the Notes” beginning on page S-18 of this prospectus supplement and the more general description of the Notes in the section titled “Description of Our Debt Securities” beginning on page 61 of the accompanying prospectus before investing in the Notes. Capitalized terms used in this prospectus supplement and not otherwise defined shall have the meanings ascribed to them in the accompanying prospectus or in the indenture governing the Notes.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23"/>
        <w:gridCol w:w="90"/>
        <w:gridCol w:w="8692"/>
      </w:tblGrid>
      <w:tr>
        <w:trPr/>
        <w:tc>
          <w:tcPr>
            <w:tcW w:w="1423"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Issuer</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Saratoga Investment Corp.</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the securities</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8.00% Notes due 2031</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Aggregate principal amount being offered</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$20,080,325</w:t>
              <w:br/>
              <w:br/>
              <w:t>The Notes offered hereby are a further issuance of the Existing Notes.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 issuance of the Notes offered hereby, the outstanding aggregate principal amount of 8.00% Notes due 2031 will be $117,830,325, assuming no exercise of the underwriters’ over-allotment option.</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 to purchase additional notes</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The underwriters also may purchase from us from time to time up to an additional $3,012,025 aggregate principal amount of Notes within 30 days of the date of this prospectus supplement.</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Public offering price</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both"/>
              <w:rPr/>
            </w:pPr>
            <w:r>
              <w:rPr/>
              <w:t>99.6% of the aggregate principal amount of the Notes.</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Aggregate accrued interest</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$129,397.61 of accrued and unpaid interest from and including August 26, 2026 up to, but not including, the date of delivery of the Notes, which is expected to be September 24, 2026 (the “Aggregate Accrued Interest”). On the initial interest payment date, November 30, 2026, we will pay the Aggregate Accrued Interest to the holders of the Notes offered hereby as of the applicable record date along with interest accrued on the Notes offered hereby from the date of delivery to such interest payment date. If you sell your Notes before the initial regular record date for interest, you will not receive the Aggregate Accrued Interest. The subsequent interest periods will be the periods from and including an interest payment date to, but excluding, the next interest payment date or the stated maturity date, as the case may be.</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payable at maturity</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rFonts w:ascii="Times New Roman;Times;Serif" w:hAnsi="Times New Roman;Times;Serif"/>
                <w:sz w:val="20"/>
              </w:rPr>
              <w:t xml:space="preserve">100% of the aggregate principal amount; the principal amount of each </w:t>
            </w:r>
            <w:r>
              <w:rPr>
                <w:rFonts w:ascii="Times New Roman;Times;Serif" w:hAnsi="Times New Roman;Times;Serif"/>
              </w:rPr>
              <w:t>Note will be payable on its stated maturity date at the corporate office of the trustee for the Notes or at such other office as we may designate.</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Type of note</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Fixed rate note</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Listing</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The Notes are listed on the NYSE under the trading symbol “SAX.”</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Interest rate</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8.00% per year</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Yield to maturity</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8.25</w:t>
            </w:r>
            <w:r>
              <w:rPr>
                <w:rFonts w:ascii="Times New Roman;Times;Serif" w:hAnsi="Times New Roman;Times;Serif"/>
              </w:rPr>
              <w:t>%</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Day count basis</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360-day year of twelve 30-day months</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date</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September 23, 2026</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Stated maturity date</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August 31, 2031</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rFonts w:ascii="Times New Roman;Times;Serif" w:hAnsi="Times New Roman;Times;Serif"/>
              </w:rPr>
            </w:pPr>
            <w:r>
              <w:rPr>
                <w:rFonts w:ascii="Times New Roman;Times;Serif" w:hAnsi="Times New Roman;Times;Serif"/>
              </w:rPr>
              <w:t>Every February 28, May 31, August 31 and November 30 of each year, beginning November 30, 2026. If an interest payment date falls on a non-business day, the applicable interest payment will be made on the next business day and no additional interest will accrue as a result of such delayed payment.</w:t>
            </w:r>
          </w:p>
        </w:tc>
      </w:tr>
      <w:tr>
        <w:trPr/>
        <w:tc>
          <w:tcPr>
            <w:tcW w:w="142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ind w:left="0" w:right="0" w:hanging="180"/>
              <w:jc w:val="both"/>
              <w:rPr/>
            </w:pPr>
            <w:r>
              <w:rPr/>
              <w:t> </w:t>
            </w:r>
          </w:p>
        </w:tc>
      </w:tr>
      <w:tr>
        <w:trPr/>
        <w:tc>
          <w:tcPr>
            <w:tcW w:w="14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Regular record dates for interest</w:t>
            </w:r>
          </w:p>
        </w:tc>
        <w:tc>
          <w:tcPr>
            <w:tcW w:w="90" w:type="dxa"/>
            <w:tcBorders/>
            <w:vAlign w:val="center"/>
          </w:tcPr>
          <w:p>
            <w:pPr>
              <w:pStyle w:val="TableContents"/>
              <w:bidi w:val="0"/>
              <w:spacing w:before="0" w:after="283"/>
              <w:jc w:val="left"/>
              <w:rPr/>
            </w:pPr>
            <w:r>
              <w:rPr/>
              <w:t> </w:t>
            </w:r>
          </w:p>
        </w:tc>
        <w:tc>
          <w:tcPr>
            <w:tcW w:w="86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15, May 15, August 15 and November 15 of each year, beginning November 15, 2026.</w:t>
            </w:r>
          </w:p>
        </w:tc>
      </w:tr>
    </w:tbl>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3040" w:type="dxa"/>
        <w:jc w:val="left"/>
        <w:tblInd w:w="0" w:type="dxa"/>
        <w:tblLayout w:type="fixed"/>
        <w:tblCellMar>
          <w:top w:w="0" w:type="dxa"/>
          <w:left w:w="0" w:type="dxa"/>
          <w:bottom w:w="0" w:type="dxa"/>
          <w:right w:w="0" w:type="dxa"/>
        </w:tblCellMar>
      </w:tblPr>
      <w:tblGrid>
        <w:gridCol w:w="1640"/>
        <w:gridCol w:w="90"/>
        <w:gridCol w:w="1310"/>
      </w:tblGrid>
      <w:tr>
        <w:trPr/>
        <w:tc>
          <w:tcPr>
            <w:tcW w:w="1640" w:type="dxa"/>
            <w:tcBorders/>
            <w:vAlign w:val="center"/>
          </w:tcPr>
          <w:p>
            <w:pPr>
              <w:pStyle w:val="TableContents"/>
              <w:bidi w:val="0"/>
              <w:spacing w:before="0" w:after="283"/>
              <w:ind w:left="0" w:right="0" w:hanging="180"/>
              <w:jc w:val="left"/>
              <w:rPr>
                <w:b/>
                <w:sz w:val="20"/>
              </w:rPr>
            </w:pPr>
            <w:r>
              <w:rPr>
                <w:b/>
                <w:sz w:val="20"/>
              </w:rPr>
              <w:t>Specified currency</w:t>
            </w:r>
          </w:p>
        </w:tc>
        <w:tc>
          <w:tcPr>
            <w:tcW w:w="9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ind w:left="0" w:right="0" w:hanging="180"/>
              <w:jc w:val="left"/>
              <w:rPr>
                <w:sz w:val="20"/>
              </w:rPr>
            </w:pPr>
            <w:r>
              <w:rPr>
                <w:sz w:val="20"/>
              </w:rPr>
              <w:t>U.S. Dollars</w:t>
            </w:r>
          </w:p>
        </w:tc>
      </w:tr>
      <w:tr>
        <w:trPr/>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ind w:left="0" w:right="0" w:hanging="180"/>
              <w:jc w:val="left"/>
              <w:rPr/>
            </w:pPr>
            <w:r>
              <w:rPr/>
              <w:t> </w:t>
            </w:r>
          </w:p>
        </w:tc>
      </w:tr>
      <w:tr>
        <w:trPr/>
        <w:tc>
          <w:tcPr>
            <w:tcW w:w="1640" w:type="dxa"/>
            <w:tcBorders/>
            <w:vAlign w:val="center"/>
          </w:tcPr>
          <w:p>
            <w:pPr>
              <w:pStyle w:val="TableContents"/>
              <w:bidi w:val="0"/>
              <w:spacing w:before="0" w:after="283"/>
              <w:jc w:val="left"/>
              <w:rPr>
                <w:b/>
                <w:sz w:val="20"/>
              </w:rPr>
            </w:pPr>
            <w:r>
              <w:rPr>
                <w:b/>
                <w:sz w:val="20"/>
              </w:rPr>
              <w:t>Place of payment</w:t>
            </w:r>
          </w:p>
        </w:tc>
        <w:tc>
          <w:tcPr>
            <w:tcW w:w="9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20"/>
              </w:rPr>
            </w:pPr>
            <w:r>
              <w:rPr>
                <w:sz w:val="20"/>
              </w:rPr>
              <w:t>New York City</w:t>
            </w:r>
          </w:p>
        </w:tc>
      </w:tr>
    </w:tbl>
    <w:p>
      <w:pPr>
        <w:pStyle w:val="TextBody"/>
        <w:bidi w:val="0"/>
        <w:jc w:val="left"/>
        <w:rPr>
          <w:caps w:val="false"/>
          <w:smallCaps w:val="false"/>
          <w:bdr w:val="single" w:sz="12" w:space="1" w:color="000000"/>
        </w:rPr>
      </w:pPr>
      <w:r>
        <w:rPr>
          <w:caps w:val="false"/>
          <w:smallCaps w:val="false"/>
          <w:bdr w:val="single" w:sz="12" w:space="1" w:color="000000"/>
        </w:rPr>
        <w:t> </w:t>
      </w:r>
    </w:p>
    <w:tbl>
      <w:tblPr>
        <w:tblW w:w="6250" w:type="dxa"/>
        <w:jc w:val="left"/>
        <w:tblInd w:w="0" w:type="dxa"/>
        <w:tblLayout w:type="fixed"/>
        <w:tblCellMar>
          <w:top w:w="0" w:type="dxa"/>
          <w:left w:w="0" w:type="dxa"/>
          <w:bottom w:w="0" w:type="dxa"/>
          <w:right w:w="0" w:type="dxa"/>
        </w:tblCellMar>
      </w:tblPr>
      <w:tblGrid>
        <w:gridCol w:w="1475"/>
        <w:gridCol w:w="90"/>
        <w:gridCol w:w="4685"/>
      </w:tblGrid>
      <w:tr>
        <w:trPr/>
        <w:tc>
          <w:tcPr>
            <w:tcW w:w="1475" w:type="dxa"/>
            <w:tcBorders/>
            <w:vAlign w:val="center"/>
          </w:tcPr>
          <w:p>
            <w:pPr>
              <w:pStyle w:val="TableContents"/>
              <w:bidi w:val="0"/>
              <w:spacing w:before="0" w:after="283"/>
              <w:jc w:val="both"/>
              <w:rPr>
                <w:b/>
                <w:sz w:val="20"/>
              </w:rPr>
            </w:pPr>
            <w:r>
              <w:rPr>
                <w:b/>
                <w:sz w:val="20"/>
              </w:rPr>
              <w:t>Ranking of notes</w:t>
            </w:r>
          </w:p>
        </w:tc>
        <w:tc>
          <w:tcPr>
            <w:tcW w:w="9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our direct unsecured obligations and rank:</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90"/>
        <w:gridCol w:w="200"/>
        <w:gridCol w:w="981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our other outstanding and future unsecured, unsubordinated indebtedness, including, as of September 21, 2026, $75.0 million principal amount outstanding of 4.35% 2027 Notes, $15.0 million principal amount outstanding of 6.25% 2027 Notes, $46.0 million principal amount outstanding of 8.00% 2027 Notes, $60.4 million principal amount outstanding of 8.125% 2027 Notes, $57.5 million principal amount outstanding of 8.50% 2028 Notes, $25.0 million principal amount outstanding of 7.25% 2029 Notes, $50.0 million principal amount outstanding of 7.25% 2030 Notes, and $100.0 million principal amount outstanding of 7.50% 2031 Notes;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to any of our future indebtedness that expressly provides it is subordinated to the Notes;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effectively subordinated to all of our existing and future secured indebtedness (including indebtedness that is initially unsecured in respect of which we have granted or subsequently grant security), to the extent of the value of the assets securing such indebtedness; and</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structurally subordinated to all existing and future indebtedness and other obligations of any of our subsidiaries, including, as of September 21, 2026, $37.5 million outstanding under the Live Oak Credit Facility, $47.5 million outstanding under the Valley Credit Facility (which we intend to repay a portion of the outstanding indebtedness thereunder using the proceeds from this offering), and $259.0 million outstanding in SBA-guaranteed debentures.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31"/>
        <w:gridCol w:w="90"/>
        <w:gridCol w:w="8484"/>
      </w:tblGrid>
      <w:tr>
        <w:trPr/>
        <w:tc>
          <w:tcPr>
            <w:tcW w:w="1631" w:type="dxa"/>
            <w:tcBorders/>
            <w:vAlign w:val="center"/>
          </w:tcPr>
          <w:p>
            <w:pPr>
              <w:pStyle w:val="TableContents"/>
              <w:bidi w:val="0"/>
              <w:spacing w:before="0" w:after="283"/>
              <w:jc w:val="both"/>
              <w:rPr>
                <w:b/>
              </w:rPr>
            </w:pPr>
            <w:r>
              <w:rPr>
                <w:b/>
              </w:rPr>
              <w:t>Denominations</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offered hereby in denominations of $25 and integral multiples of $25 in excess thereof.</w:t>
            </w:r>
          </w:p>
        </w:tc>
      </w:tr>
      <w:tr>
        <w:trPr/>
        <w:tc>
          <w:tcPr>
            <w:tcW w:w="163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 </w:t>
            </w:r>
          </w:p>
        </w:tc>
      </w:tr>
      <w:tr>
        <w:trPr/>
        <w:tc>
          <w:tcPr>
            <w:tcW w:w="1631" w:type="dxa"/>
            <w:tcBorders/>
            <w:vAlign w:val="center"/>
          </w:tcPr>
          <w:p>
            <w:pPr>
              <w:pStyle w:val="TableContents"/>
              <w:bidi w:val="0"/>
              <w:spacing w:before="0" w:after="283"/>
              <w:jc w:val="both"/>
              <w:rPr>
                <w:b/>
                <w:sz w:val="20"/>
              </w:rPr>
            </w:pPr>
            <w:r>
              <w:rPr>
                <w:b/>
                <w:sz w:val="20"/>
              </w:rPr>
              <w:t>Optional redemption</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The Notes may be redeemed in whole or in part at any time or from time to time at our option on or after August 26, 2028,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thereon to, but not including, the redemption date.</w:t>
            </w:r>
          </w:p>
        </w:tc>
      </w:tr>
      <w:tr>
        <w:trPr/>
        <w:tc>
          <w:tcPr>
            <w:tcW w:w="163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 </w:t>
            </w:r>
          </w:p>
        </w:tc>
      </w:tr>
      <w:tr>
        <w:trPr/>
        <w:tc>
          <w:tcPr>
            <w:tcW w:w="163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w:t>
            </w:r>
          </w:p>
        </w:tc>
      </w:tr>
      <w:tr>
        <w:trPr/>
        <w:tc>
          <w:tcPr>
            <w:tcW w:w="163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 </w:t>
            </w:r>
          </w:p>
        </w:tc>
      </w:tr>
      <w:tr>
        <w:trPr/>
        <w:tc>
          <w:tcPr>
            <w:tcW w:w="163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84" w:type="dxa"/>
            <w:tcBorders/>
            <w:vAlign w:val="center"/>
          </w:tcPr>
          <w:p>
            <w:pPr>
              <w:pStyle w:val="TableContents"/>
              <w:bidi w:val="0"/>
              <w:spacing w:before="0" w:after="283"/>
              <w:jc w:val="both"/>
              <w:rPr/>
            </w:pPr>
            <w:r>
              <w:rPr/>
              <w:t>Any exercise of our option to redeem the Notes will be done in compliance with the 1940 Act.</w:t>
            </w:r>
          </w:p>
        </w:tc>
      </w:tr>
    </w:tbl>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699"/>
        <w:gridCol w:w="90"/>
        <w:gridCol w:w="8416"/>
      </w:tblGrid>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If we redeem only some of the Notes, the Trustee or DTC, as applicable, will determine the method for selection of the particular Notes to be redeemed, in accordance with the indenture and the 1940 Act,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tc>
      </w:tr>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 </w:t>
            </w:r>
          </w:p>
        </w:tc>
      </w:tr>
      <w:tr>
        <w:trPr/>
        <w:tc>
          <w:tcPr>
            <w:tcW w:w="1699" w:type="dxa"/>
            <w:tcBorders/>
            <w:vAlign w:val="center"/>
          </w:tcPr>
          <w:p>
            <w:pPr>
              <w:pStyle w:val="TableContents"/>
              <w:bidi w:val="0"/>
              <w:spacing w:before="0" w:after="283"/>
              <w:jc w:val="both"/>
              <w:rPr>
                <w:b/>
              </w:rPr>
            </w:pPr>
            <w:r>
              <w:rPr>
                <w:b/>
              </w:rPr>
              <w:t>Sinking fund</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The Notes will not be subject to any sinking fund (i.e., no amounts will be set aside by us to ensure repayment of the Notes at maturity). As a result, our ability to repay the Notes at maturity will depend on our financial condition on the date that we are required to repay the Notes.</w:t>
            </w:r>
          </w:p>
        </w:tc>
      </w:tr>
      <w:tr>
        <w:trPr/>
        <w:tc>
          <w:tcPr>
            <w:tcW w:w="1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1699" w:type="dxa"/>
            <w:tcBorders/>
            <w:vAlign w:val="center"/>
          </w:tcPr>
          <w:p>
            <w:pPr>
              <w:pStyle w:val="TableContents"/>
              <w:bidi w:val="0"/>
              <w:spacing w:before="0" w:after="283"/>
              <w:jc w:val="left"/>
              <w:rPr>
                <w:b/>
              </w:rPr>
            </w:pPr>
            <w:r>
              <w:rPr>
                <w:b/>
              </w:rPr>
              <w:t>Repayment at option of holders</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b w:val="false"/>
              </w:rPr>
            </w:pPr>
            <w:r>
              <w:rPr>
                <w:b w:val="false"/>
              </w:rPr>
              <w:t>Holders will not have the option to have the Notes repaid prior to the stated maturity date.</w:t>
            </w:r>
          </w:p>
        </w:tc>
      </w:tr>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 </w:t>
            </w:r>
          </w:p>
        </w:tc>
      </w:tr>
      <w:tr>
        <w:trPr/>
        <w:tc>
          <w:tcPr>
            <w:tcW w:w="1699" w:type="dxa"/>
            <w:tcBorders/>
            <w:vAlign w:val="center"/>
          </w:tcPr>
          <w:p>
            <w:pPr>
              <w:pStyle w:val="TableContents"/>
              <w:bidi w:val="0"/>
              <w:spacing w:before="0" w:after="283"/>
              <w:jc w:val="both"/>
              <w:rPr>
                <w:b/>
              </w:rPr>
            </w:pPr>
            <w:r>
              <w:rPr>
                <w:b/>
              </w:rPr>
              <w:t>Defeasance</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The Notes are subject to defeasance by us. “Defeasance” means that, by depositing with a trustee an amount of cash and/or government securities sufficient to pay all principal and interest, if any, on the Notes when due and satisfying any additional conditions required under the indenture relating to the Notes, we will be deemed to have been discharged from our obligations under the Notes.</w:t>
            </w:r>
          </w:p>
        </w:tc>
      </w:tr>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 </w:t>
            </w:r>
          </w:p>
        </w:tc>
      </w:tr>
      <w:tr>
        <w:trPr/>
        <w:tc>
          <w:tcPr>
            <w:tcW w:w="1699" w:type="dxa"/>
            <w:tcBorders/>
            <w:vAlign w:val="center"/>
          </w:tcPr>
          <w:p>
            <w:pPr>
              <w:pStyle w:val="TableContents"/>
              <w:bidi w:val="0"/>
              <w:spacing w:before="0" w:after="283"/>
              <w:jc w:val="both"/>
              <w:rPr>
                <w:b/>
                <w:sz w:val="20"/>
              </w:rPr>
            </w:pPr>
            <w:r>
              <w:rPr>
                <w:b/>
                <w:sz w:val="20"/>
              </w:rPr>
              <w:t>Covenant defeasance</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sz w:val="20"/>
              </w:rPr>
              <w:t xml:space="preserve">The Notes are subject to covenant defeasance by us. In the event of a </w:t>
            </w:r>
            <w:r>
              <w:rPr/>
              <w:t>“covenant defeasance,” upon depositing such funds and satisfying similar conditions discussed below, we would be released from the restrictive covenants under the indenture relating to the Notes. The consequences to the holders of the Notes are that, while they no longer benefit from the restrictive covenants under the indenture, and while the Notes may not be accelerated for any reason, the holders of Notes nonetheless could look to the Company for repayment of the Notes if there were a shortfall in the funds deposited with the trustee or the trustee is prevented from making the payment.</w:t>
            </w:r>
          </w:p>
        </w:tc>
      </w:tr>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 </w:t>
            </w:r>
          </w:p>
        </w:tc>
      </w:tr>
      <w:tr>
        <w:trPr/>
        <w:tc>
          <w:tcPr>
            <w:tcW w:w="1699" w:type="dxa"/>
            <w:tcBorders/>
            <w:vAlign w:val="center"/>
          </w:tcPr>
          <w:p>
            <w:pPr>
              <w:pStyle w:val="TableContents"/>
              <w:bidi w:val="0"/>
              <w:spacing w:before="0" w:after="283"/>
              <w:jc w:val="both"/>
              <w:rPr>
                <w:b/>
              </w:rPr>
            </w:pPr>
            <w:r>
              <w:rPr>
                <w:b/>
              </w:rPr>
              <w:t>Form of notes</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tc>
      </w:tr>
      <w:tr>
        <w:trPr/>
        <w:tc>
          <w:tcPr>
            <w:tcW w:w="169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 </w:t>
            </w:r>
          </w:p>
        </w:tc>
      </w:tr>
      <w:tr>
        <w:trPr/>
        <w:tc>
          <w:tcPr>
            <w:tcW w:w="1699" w:type="dxa"/>
            <w:tcBorders/>
            <w:vAlign w:val="center"/>
          </w:tcPr>
          <w:p>
            <w:pPr>
              <w:pStyle w:val="TableContents"/>
              <w:bidi w:val="0"/>
              <w:spacing w:before="0" w:after="283"/>
              <w:jc w:val="left"/>
              <w:rPr>
                <w:b/>
              </w:rPr>
            </w:pPr>
            <w:r>
              <w:rPr>
                <w:b/>
              </w:rPr>
              <w:t>Trustee, paying agent, registrar, and transfer agent</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b w:val="false"/>
              </w:rPr>
            </w:pPr>
            <w:r>
              <w:rPr>
                <w:b w:val="false"/>
              </w:rPr>
              <w:t>U.S. Bank Trust Company, National Association (as successor in interest to U.S. Bank National Association)</w:t>
            </w:r>
          </w:p>
        </w:tc>
      </w:tr>
      <w:tr>
        <w:trPr/>
        <w:tc>
          <w:tcPr>
            <w:tcW w:w="169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1699" w:type="dxa"/>
            <w:tcBorders/>
            <w:vAlign w:val="center"/>
          </w:tcPr>
          <w:p>
            <w:pPr>
              <w:pStyle w:val="TableContents"/>
              <w:bidi w:val="0"/>
              <w:spacing w:before="0" w:after="283"/>
              <w:jc w:val="left"/>
              <w:rPr>
                <w:b/>
              </w:rPr>
            </w:pPr>
            <w:r>
              <w:rPr>
                <w:b/>
              </w:rPr>
              <w:t>Other covenants</w:t>
            </w:r>
          </w:p>
        </w:tc>
        <w:tc>
          <w:tcPr>
            <w:tcW w:w="90"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both"/>
              <w:rPr/>
            </w:pPr>
            <w:r>
              <w:rPr/>
              <w:t>In addition to any covenants described elsewhere in this prospectus supplement or the accompanying prospectus, the following covenants shall apply to the Notes: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90"/>
        <w:gridCol w:w="200"/>
        <w:gridCol w:w="981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90"/>
        <w:gridCol w:w="200"/>
        <w:gridCol w:w="981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agree that, 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generally accepted accounting principles in the United States (“U.S. GAAP”).</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31"/>
        <w:gridCol w:w="90"/>
        <w:gridCol w:w="8684"/>
      </w:tblGrid>
      <w:tr>
        <w:trPr/>
        <w:tc>
          <w:tcPr>
            <w:tcW w:w="1431"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rating maintenance</w:t>
            </w:r>
          </w:p>
        </w:tc>
        <w:tc>
          <w:tcPr>
            <w:tcW w:w="90"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jc w:val="both"/>
              <w:rPr/>
            </w:pPr>
            <w:r>
              <w:rPr>
                <w:sz w:val="20"/>
              </w:rPr>
              <w:t xml:space="preserve">We have agreed to use commercially reasonable efforts to maintain a </w:t>
            </w:r>
            <w:r>
              <w:rPr/>
              <w:t>credit rating on the Notes by a rating organization designated from time to time by the SEC as being nationally recognized whose status has been confirmed by the Securities Valuation Office of the National Association of Insurance Commissioners (“NRSRO”).</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9235" w:type="dxa"/>
        <w:jc w:val="left"/>
        <w:tblInd w:w="0" w:type="dxa"/>
        <w:tblLayout w:type="fixed"/>
        <w:tblCellMar>
          <w:top w:w="0" w:type="dxa"/>
          <w:left w:w="0" w:type="dxa"/>
          <w:bottom w:w="0" w:type="dxa"/>
          <w:right w:w="0" w:type="dxa"/>
        </w:tblCellMar>
      </w:tblPr>
      <w:tblGrid>
        <w:gridCol w:w="1475"/>
        <w:gridCol w:w="90"/>
        <w:gridCol w:w="7670"/>
      </w:tblGrid>
      <w:tr>
        <w:trPr/>
        <w:tc>
          <w:tcPr>
            <w:tcW w:w="1475" w:type="dxa"/>
            <w:tcBorders/>
            <w:vAlign w:val="center"/>
          </w:tcPr>
          <w:p>
            <w:pPr>
              <w:pStyle w:val="TableContents"/>
              <w:bidi w:val="0"/>
              <w:spacing w:before="0" w:after="283"/>
              <w:jc w:val="left"/>
              <w:rPr>
                <w:b/>
                <w:sz w:val="20"/>
              </w:rPr>
            </w:pPr>
            <w:r>
              <w:rPr>
                <w:b/>
                <w:sz w:val="20"/>
              </w:rPr>
              <w:t>Events of default</w:t>
            </w:r>
          </w:p>
        </w:tc>
        <w:tc>
          <w:tcPr>
            <w:tcW w:w="9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sz w:val="20"/>
              </w:rPr>
              <w:t xml:space="preserve">You will have rights if an Event of Default occurs with respect to the </w:t>
            </w:r>
            <w:r>
              <w:rPr/>
              <w:t>Notes.</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The term “Event of Default” in respect of the Notes means any of the following:</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05"/>
        <w:gridCol w:w="90"/>
        <w:gridCol w:w="200"/>
        <w:gridCol w:w="981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do not pay the principal (or premium, if any) of any Note when due.</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do not pay interest on any Note when due, and such default is not cured within 30 days.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remain in breach of any other covenant with respect to the Notes for 60 days after we receive a written notice of default stating we are in breach. The notice must be sent by either the Trustee or holders of at least 25.0% of the principal amount of the Notes.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We file for bankruptcy or certain other events of bankruptcy, insolvency or reorganization occur and in the case of certain orders or decrees entered against us under any bankruptcy law, such order or decree remains undischarged or unstayed for a period of 60 days.</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p>
        </w:tc>
        <w:tc>
          <w:tcPr>
            <w:tcW w:w="981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w:t>
            </w:r>
          </w:p>
        </w:tc>
        <w:tc>
          <w:tcPr>
            <w:tcW w:w="9810" w:type="dxa"/>
            <w:tcBorders/>
            <w:vAlign w:val="center"/>
          </w:tcPr>
          <w:p>
            <w:pPr>
              <w:pStyle w:val="TableContents"/>
              <w:bidi w:val="0"/>
              <w:spacing w:before="0" w:after="283"/>
              <w:jc w:val="both"/>
              <w:rPr>
                <w:sz w:val="20"/>
              </w:rPr>
            </w:pPr>
            <w:r>
              <w:rPr>
                <w:sz w:val="20"/>
              </w:rPr>
              <w:t>On the last business day of each of twenty-four consecutive calendar months, the Notes have an asset coverage, as defined in the 1940 Act, of less than 100% after giving effect to any exemptive relief granted to us by the SEC.</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395"/>
        <w:gridCol w:w="90"/>
        <w:gridCol w:w="8720"/>
      </w:tblGrid>
      <w:tr>
        <w:trPr/>
        <w:tc>
          <w:tcPr>
            <w:tcW w:w="1395" w:type="dxa"/>
            <w:tcBorders/>
            <w:vAlign w:val="center"/>
          </w:tcPr>
          <w:p>
            <w:pPr>
              <w:pStyle w:val="TableContents"/>
              <w:bidi w:val="0"/>
              <w:spacing w:before="0" w:after="283"/>
              <w:ind w:left="0" w:right="0" w:hanging="180"/>
              <w:jc w:val="left"/>
              <w:rPr>
                <w:b/>
              </w:rPr>
            </w:pPr>
            <w:r>
              <w:rPr>
                <w:b/>
              </w:rPr>
              <w:t>Further issuances</w:t>
            </w:r>
          </w:p>
        </w:tc>
        <w:tc>
          <w:tcPr>
            <w:tcW w:w="9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ind w:left="0" w:right="0" w:hanging="180"/>
              <w:jc w:val="both"/>
              <w:rPr/>
            </w:pPr>
            <w:r>
              <w:rPr/>
              <w:t>We have the ability to issue additional debt securities under the indenture with terms different from the Notes and, without the consent of the holders of the Notes, to reopen the Notes and issue additional Notes. If we issue additional debt securities, these additional debt securities could have a lien or other security interest greater than that accorded to the holders of the Notes, which are unsecured.</w:t>
            </w:r>
          </w:p>
        </w:tc>
      </w:tr>
      <w:tr>
        <w:trPr/>
        <w:tc>
          <w:tcPr>
            <w:tcW w:w="1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jc w:val="both"/>
              <w:rPr/>
            </w:pPr>
            <w:r>
              <w:rPr/>
              <w:t> </w:t>
            </w:r>
          </w:p>
        </w:tc>
      </w:tr>
      <w:tr>
        <w:trPr/>
        <w:tc>
          <w:tcPr>
            <w:tcW w:w="1395" w:type="dxa"/>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clearance and settlement procedures</w:t>
            </w:r>
          </w:p>
        </w:tc>
        <w:tc>
          <w:tcPr>
            <w:tcW w:w="9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ind w:left="0" w:right="0" w:hanging="180"/>
              <w:jc w:val="both"/>
              <w:rPr>
                <w:b w:val="false"/>
              </w:rPr>
            </w:pPr>
            <w:r>
              <w:rPr>
                <w:b w:val="false"/>
              </w:rPr>
              <w:t>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tc>
      </w:tr>
      <w:tr>
        <w:trPr/>
        <w:tc>
          <w:tcPr>
            <w:tcW w:w="1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283"/>
              <w:ind w:left="0" w:right="0" w:hanging="180"/>
              <w:jc w:val="both"/>
              <w:rPr/>
            </w:pPr>
            <w:r>
              <w:rPr/>
              <w:t> </w:t>
            </w:r>
          </w:p>
        </w:tc>
      </w:tr>
      <w:tr>
        <w:trPr/>
        <w:tc>
          <w:tcPr>
            <w:tcW w:w="1395" w:type="dxa"/>
            <w:tcBorders/>
            <w:vAlign w:val="center"/>
          </w:tcPr>
          <w:p>
            <w:pPr>
              <w:pStyle w:val="TableContents"/>
              <w:bidi w:val="0"/>
              <w:spacing w:before="0" w:after="283"/>
              <w:jc w:val="left"/>
              <w:rPr>
                <w:b/>
              </w:rPr>
            </w:pPr>
            <w:r>
              <w:rPr>
                <w:b/>
              </w:rPr>
              <w:t>Use of proceeds</w:t>
            </w:r>
          </w:p>
        </w:tc>
        <w:tc>
          <w:tcPr>
            <w:tcW w:w="90" w:type="dxa"/>
            <w:tcBorders/>
            <w:vAlign w:val="center"/>
          </w:tcPr>
          <w:p>
            <w:pPr>
              <w:pStyle w:val="TableContents"/>
              <w:bidi w:val="0"/>
              <w:spacing w:before="0" w:after="283"/>
              <w:jc w:val="left"/>
              <w:rPr/>
            </w:pPr>
            <w:r>
              <w:rPr/>
              <w:t> </w:t>
            </w:r>
          </w:p>
        </w:tc>
        <w:tc>
          <w:tcPr>
            <w:tcW w:w="87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we receive from the sale of the Notes will be approximately $19,432,332.94 (approximately $22,369,659.72 if the underwriters exercise their option to purchase additional Notes in full), based on the public offering price of  99.6% of the aggregate principal amount of the Notes, after deducting underwriting discounts and commissions and estimated offering expenses payable by us. We expect to use the net proceeds from this offering to repay a portion of the outstanding indebtedness under the Valley Credit Facility. See “Use of Proceeds” in this prospectus supplement.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4"/>
      <w:bookmarkEnd w:id="5"/>
      <w:r>
        <w:rPr>
          <w:rFonts w:ascii="Times New Roman;Times;Serif" w:hAnsi="Times New Roman;Times;Serif"/>
          <w:b/>
          <w:i w:val="false"/>
          <w:caps w:val="false"/>
          <w:smallCaps w:val="false"/>
          <w:sz w:val="20"/>
        </w:rPr>
        <w:t>SUPPLEMENTARY 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the Notes involves a number of significant risks. In addition to the other information contained in this prospectus supplement, the accompanying prospectus and the documents incorporated by reference, you should carefully consider the risk factors set forth below, the risk factors incorporated by reference in the accompanying prospectus and as described in the section titled “Risk Factors” in our most recent Annual Report on Form 10-K, as well as subsequent filings with the SEC, which are incorporated by reference into this prospectus supplement and the accompanying prospectus in their entirety, before making an investment in the Notes. The risks set forth below and the risk factors incorporated by reference into this prospectus supplement and the accompanying prospectus, as described in the section titled “Risk Factors” in our most recent Annual Report on Form 10-K, and any subsequent filings with the SEC are the principal risks with respect to the Company generally and with respect to BDCs, they may not be the only risks we face. This section nonetheless describes the principal risk factors associated with the Notes specifically. If any of the risks occur, our business, financial condition and results of operations could be materially adversely affected. In such case, our NAV and the trading price of our securities could decline and you may lose all or part of your investment. Please also read carefully the section titled “Note about Forward-Looking Statements” in this prospectus supplement and the section titled “Special Note Regarding Forward-Looking Statements”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are unsecured and therefore are effectively subordinated to any existing and future secured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not secured by any of our assets or any of the assets of any of our subsidiaries. As a result, the Notes are effectively subordinated to any existing and future secured indebtedness we or our subsidiaries have outstanding as of the date of this prospectus supplement that we or our subsidiaries may incur in the future (or any indebtedness that is initially unsecured as to which we have granted or subsequently grant a security interest) to the extent of the value of the assets securing such indebtedness. In any liquidation, dissolution, bankruptcy or other similar proceeding, the holders of any of our secured indebtedness or secured indebtedness of our subsidiaries may assert rights against the assets pledged to secure that indebtedness in order to receive full payment of their indebtedness before the assets may be used to pay other creditors, including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are structurally subordinated to the indebtedness and other liabilities of our subsidiaries, including the Live Oak Credit Facility, the Valley Credit Facility, and the SBA-guaranteed debentures.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obligations exclusively of Saratoga Investment Corp., and not of any of our subsidiaries. None of our subsidiaries are a guarantor of the Notes, and the Notes are not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existing or future subsidiaries, including the Live Oak Credit Facility, the Valley Credit Facility, and the SBA-guaranteed debentures. These entities may incur substantial indebtedness in the future, all of which would be structurally senior to the Notes. As of September 21, 2026, we had $37.5 million and $47.5 million in outstanding indebtedness under the Live Oak Credit Facility and the Valley Credit Facility, respectively, and we had the ability to borrow up to $75.0 million and $85.0 million under the Live Oak Credit Facility and the Valley Credit Facility, respectively, subject, in each case, to certain conditions. The Valley Credit Facility is secured by substantially all of the assets of SIF II and the Live Oak Credit Facility is secured by substantially all of the assets of SIF III. As of September 21, 2026, we had $259.0 million in SBA-guaranteed debentures outstanding. The indebtedness under the SBA-guaranteed debentures is structurally senior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indenture governing the Notes contains limited protection for holders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governing the Notes contains limited protection to holders of the Notes. The terms of the indenture and the Notes do not restrict our or any of our subsidiaries’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ability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those entities and therefore rank structurally senior to the Notes with respect to the assets of our subsidiaries, in each case other than an incurrence of indebtedness or other obligation that would cause a violation of Section 18(a)(1)(A) as modified by Section 61(a)(2) of the 1940 Act or any successor provisions, whether or not we continue to be subject to such provisions of the 1940 Act, but giving effect, in each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pay dividends on, or purchase or redeem or make any payments in respect of, capital stock or other securities ranking junior in right of payment to the Notes, including subordinated indebtedness, except that we have agreed that, for the period of time during which the Notes are outstanding, we will not violate Section 18(a)(1)(B) as modified by (i) Section 61(a)(2) of the 1940 Act or any successor provisions and after giving effect to any exemptive relief granted to us by the SEC and (ii) the following two exceptions: (A)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were below 150% at the time of the declaration of the dividend or distribution or the purchase and after deducting the amount of such dividend, distribution or purchase;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sell assets (other than certain limited restrictions on our ability to consolidate, merge or sell all or substantially all of our assets);</w:t>
            </w:r>
          </w:p>
        </w:tc>
      </w:tr>
    </w:tbl>
    <w:p>
      <w:pPr>
        <w:pStyle w:val="TextBody"/>
        <w:bidi w:val="0"/>
        <w:spacing w:before="0" w:after="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68"/>
        <w:gridCol w:w="200"/>
        <w:gridCol w:w="3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enter into transactions with affiliates;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create liens (including liens on the shares of our subsidiaries) or enter into sale and leaseback transactions;</w:t>
            </w:r>
          </w:p>
        </w:tc>
      </w:tr>
    </w:tbl>
    <w:p>
      <w:pPr>
        <w:pStyle w:val="TextBody"/>
        <w:bidi w:val="0"/>
        <w:spacing w:before="0" w:after="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20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pPr>
            <w:r>
              <w:rPr/>
              <w:t>make investments; or</w:t>
            </w:r>
          </w:p>
        </w:tc>
      </w:tr>
    </w:tbl>
    <w:p>
      <w:pPr>
        <w:pStyle w:val="TextBody"/>
        <w:bidi w:val="0"/>
        <w:spacing w:before="0" w:after="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create restrictions on the payment of dividends or other amounts to us from our subsidiaries.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indenture (as defined under the caption “Description of the Notes”) will not require us to offer to purchase the Notes in connection with a change of control or any other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terms of the indenture and the Notes do not protect holders of the Notes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debt we issue or incur in the future could contain more protections for its holders than the indenture and the Notes, including additional covenants and events of default. For example, the indenture under which the Notes are issued will not contain cross-default provisions that are contained in the Live Oak Credit Facility and the Valley Credit Facility. The issuance or incurrence of any such debt with incremental protections could affect the market for, trading levels, and prices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While a trading market developed after issuing the Existing Notes, we cannot assure you that an active trading market for the Notes will be maintained.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listed on the NYSE under the symbol “SAX.” While a trading market developed, we cannot provide any assurances that an active trading market will be maintained for the Notes or that you will be able to sell your Notes. The Notes may trade at a discount to their public offering price depending on prevailing interest rates, the market for similar securities, our credit ratings, if any, general economic conditions, our financial condition, performance and prospects and other factors. The underwriters have advised us that they intend to continue to make a market in the Notes, but they are not obligated to do so. Any market-making activity will be subject to limits imposed by law, general economic conditions, or other relevant factors. The underwriters may discontinue any market-making in the Notes at any time at their sole discretion.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adversely affected. Accordingly, you may be required to bear the financial risk of an investment in the Notes for an indefinite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choose to redeem the Notes when prevailing interest rates are relatively low, which may adversely affect your return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August 26, 2028, we may choose to redeem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Our redemption right also may adversely impact your ability to sell the Notes as the optional redemption date or period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early redemption feature in our outstanding 7.25% 2029 Notes increases our dependence on certain key individuals and could result in early repayment obligations at a time when we may not have sufficient cash, which could trigger cross defaults under the Notes and our other indebtedness.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7.25% 2029 Notes contain a provision that grants the holders the option to have the 7.25% 2029 Notes repaid prior to their stated maturity date if (i) we are no longer directly managed by Saratoga Investment Advisors or any of its affiliates, or if two or more of Christian L. Oberbeck, Michael J. Grisius, Thomas V. Inglesby, Charles G. Phillips or Henri J. Steenkamp cease to work or be employed on a full-time basis with respect to the business of Saratoga Investment Advisors at least the duties and responsibilities delegated to him as of the date of the indenture governing the 7.25% 2029 Notes and has not been promptly replaced by another person reasonably acceptable to the holders of the 7.25% 2029 Notes, or (ii) we violate Section 18(a)(1)(A) of the 1940 Act, as modified by Section 61(a)(2) of the 1940 Act. This early redemption feature increases our dependence on these key individuals. We may not repay the 7.25% 2029 Notes upon the occurrence of any such event because we may not have sufficient funds. In addition, our failure to purchase the 7.25% 2029 Notes upon the occurrence of any such event would cause an event of default under the indenture governing the 7.25% 2029 Notes and a cross-default under the agreements governing certain of our other indebtedness. Any such cross-default could result in the acceleration of our indebtedness, which would have a material adverse effect on our financial condition, results of operations and our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amount of our debt outstanding will continue to be substantial following this offering, and if we default on our obligations to pay our other indebtedness, we may not be able to make payments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 under the agreements governing our indebtedness, including a default under the Live Oak Credit Facility, the Valley Credit Facility, the indentures governing the 4.35% 2027 Notes, 6.25% 2027 Notes, the 8.00% 2027 Notes, the 8.125% 2027 Notes, the 8.50% 2028 Notes, the 7.25% 2029 Notes, the 7.25% 2030 Notes and the 7.50% 2031 Notes, or other indebtedness to which we may be a party, that is not waived by the required lenders or the holders, and the remedies sought by the lenders or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(including the Live Oak Credit Facility, the Valley Credit Facility, the 4.35% 2027 Notes, the 6.25% 2027 Notes, the 8.00% 2027 Notes, the 8.125% 2027 Notes, the 8.50% 2028 Notes, the 7.25% 2029 Notes, the 7.25% 2030 Notes and the 7.50% 2031 Notes). In the event of such default, the holders of such indebtedness could elect to declare all the funds borrowed thereunder to be due and payable, together with accrued and unpaid interest, the lenders under the Live Oak Credit Facility, the Valley Credit Facility, or other debt we may incur in the future could elect to terminate their commitment, cease making further loans and institute foreclosure proceedings against our assets, and we could be forced into bankruptcy or liquidation. In addition, any such default may constitute a default under the Notes, which could further limit our ability to repay our debt, including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sufficient cash flow in the future is, to some extent, subject to general economic, financial, competitive, legislative and regulatory factors as well as other factors that are beyond our control. We cannot assure you that our business will generate cash flow from operations, or that future borrowings will be available to us under the Live Oak Credit Facility, the Valley Credit Facility, or otherwise, in an amount sufficient to enable us to meet our payment obligations under the Notes, the 4.35% 2027 Notes, the 6.25% 2027 Notes, the 8.00% 2027 Notes, the 8.125% 2027 Notes, the 8.50% 2028 Notes, the 7.25% 2029 Notes, the 7.25% 2030 Notes, the 7.50% 2031 Notes, the Live Oak Credit Facility, the Valley Credit Facility, and to fund other liquidity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operating performance declines and we are not able to generate sufficient cash flow to service our debt obligations, we may, in the future, need to refinance or restructure our debt, including any Notes sold, sell assets, reduce or delay capital investments, seek to raise additional capital or seek to obtain waivers from the required lenders under the Live Oak Credit Facility or the Valley Credit Facility, the holders of the 4.35% 2027 Notes, the 6.25% 2027 Notes, the 8.00% 2027 Notes, the 8.125% 2027 Notes, the 8.50% 2028 Notes, the 7.25% 2029 Notes, the 7.25% 2030 Notes, the 7.50% 2031 Notes, or other debt that we may incur in the future to avoid being in default. If we are unable to implement one or more of these alternatives, we may not be able to meet our payment obligations under the Notes and our other debt. If we breach our covenants under the Live Oak Credit Facility, the Valley Credit Facility, the 4.35% 2027 Notes, the 6.25% 2027 Notes, the 8.00% 2027 Notes, the 8.125% 2027 Notes, the 8.50% 2028 Notes, the 7.25% 2029 Notes, the 7.25% 2030 Notes, the 7.50% 2031 Notes, or our other debt and seek a waiver, we may not be able to obtain a waiver from the required lenders or the holders thereof. If this occurs, we would be in default under the Live Oak Credit Facility, the Valley Credit Facility, the 4.35% 2027 Notes, the 6.25% 2027 Notes, the 8.00% 2027 Notes, the 8.125% 2027 Notes, the 8.50% 2028 Notes, the 7.25% 2029 Notes, the 7.25% 2030 Notes, the 7.50% 2031 Notes, or other debt, the lenders or holders could exercise their rights as described above, and we could be forced into bankruptcy or liquidation. If we are unable to repay debt, lenders having secured obligations could proceed against the collateral securing the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downgrade, suspension or withdrawal of the credit rating assigned by a rating agency to us or the Notes or change in the debt markets could cause the liquidity or market value of the Notes to decline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the Company, so warrant. The conditions of the financial markets and prevailing interest rates have fluctuated in the past and are likely to fluctuate in the future, which could have an adverse effect on the market prices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employ leverage, which magnifies the potential for gain or loss on amounts invested and may increase the risk of investing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also known as leverage, magnify the potential for gain or loss on amounts invested and, therefore, increase the risks associated with investing in us. We borrow from and issue senior debt securities to banks and other lenders that is secured by a lien on our assets. Holders of these senior securities have fixed dollar claims on our assets that are superior to the claims of the holders of our securities.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common stock distributions or scheduled debt payments, including with respect to the Notes. There can be no assurance that our leveraging strategy will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RIC tax treatment. A failure to add new debt facilities or issue additional debt securities or other evidences of indebtedness in lieu of or in addition to existing indebtedness could have a material adverse effect on our business, financial condition or results of operations.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21, 2026, we had $37.5 million in outstanding borrowings under the Live Oak Credit Facility, $47.5 million in outstanding borrowings under the Valley Credit Facility, $259.0 million in SBA-guaranteed debentures outstanding and $75.0 million, $15.0 million, $46.0 million, $60.375 million, $57.5 million, $25.0 million, $50.0 million and $100.0 million, respectively, in aggregate principal amount outstanding of the 4.35% 2027 Notes, the 6.25% 2027 Notes, the 8.00% 2027 Notes, the 8.125% 2027 Notes, the 8.50% 2028 Notes, the 7.25% 2029 Notes, the 7.25% 2030 Notes, and the 7.50% 2031 Notes. We may incur additional indebtedness in the future, including, but not limited to, borrowings under the Live Oak Credit Facility, the Valley Credit Facility or the issuance of additional debt securities in one or more public or private offerings, although there can be no assurance that we will be successful in doing so. Our ability to service our debt depends largely on our financial performance and is subject to prevailing economic conditions and competitive pressures. The amount of leverage that we employ at any particular time will depend on our management’s and our board of directors’ assessment of market and other factors at the time of any proposed borrowing.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generally required to meet a coverage ratio at least equal to 150% of total assets to total borrowings and other senior securities, which include all of our borrowings (other than the SBA-guaranteed debentures issued by the SBIC Subsidiaries under the terms of SEC exemptive relief) and any preferred stock we may issue in the future. If this ratio declines below 150%, we may not be able to incur additional debt and may need to sell a portion of our investments to repay some debt when it is disadvantageous to do so, and we may not be able to make distributions to our stockholders. Additionally, because the SBA-guaranteed debentures are excluded from the calculation of our asset ratio coverage for purpose of compliance with the 1940 Act under the terms of our SEC exemptive relief, we may have a ratio of total assets to borrowings (including the SBA-guaranteed debentures) greater than 150% and our asset coverage ratio may not fully reflect the risks relating to our outstanding debt and capitalization. For example, our asset coverage ratio as of May 31, 2026 was 162.6%. However, including SBA-guaranteed debentures, our total assets to total borrowings would be 146.3% as of May 31, 2026.</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5"/>
      <w:bookmarkEnd w:id="6"/>
      <w:r>
        <w:rPr>
          <w:rFonts w:ascii="Times New Roman;Times;Serif" w:hAnsi="Times New Roman;Times;Serif"/>
          <w:b/>
          <w:i w:val="false"/>
          <w:caps w:val="false"/>
          <w:smallCaps w:val="false"/>
          <w:sz w:val="20"/>
        </w:rPr>
        <w:t>NOTE ABOUT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included or incorporated by reference in this prospectus supplement, the accompanying prospectus and in any free writing prospectus relating to this offering of the Notes may contain forward-looking statements, which can be identified by the use of forward-looking terminology such as “may,” “predict,” “will,” “continue,” “likely,” “would,” “could,” “should,” “expect,” “anticipate,” “potential,” “estimate,” “indicate,” “seek,” “believe,” “target,” “intend” or “project” or the negative of these words or other variations on these words or comparable terminology. The matters described in the section titled “Risk Factors” in the accompanying prospectus and our most recent Annual Report on Form 10-K which is incorporated by reference in this prospectus supplement and the accompanying prospectus, as well as subsequent filings with the SEC, or in any free writing prospectus relating to this offering and certain other factors noted throughout or incorporated by reference in this prospectus supplement, the accompanying prospectus and in any free writing prospectus relating to this offering constitute cautionary statements identifying important factors with respect to any such forward-looking statements, including certain risks and uncertainties that could cause actual results to differ materially from those in such forward-looking statements. We undertake no obligation to revise or update any forward-looking statements but advise you to consult any additional disclosures that we may make directly to you or through reports that we may file in the future with the SEC, including Annual Reports on Form 10-K, Quarterly Reports on Form 10-Q and Current Reports on Form 8-K. Accordingly, there are or will be important factors that could cause our actual results to differ materially from those expressed or implied by the forward-looking statements. The forward-looking statements included or incorporated by reference in this prospectus supplement, the accompanying prospectus, and in any free writing prospectus relating to this offering of the Notes may include statements as to:</w:t>
      </w:r>
    </w:p>
    <w:p>
      <w:pPr>
        <w:pStyle w:val="TextBody"/>
        <w:bidi w:val="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00"/>
        <w:gridCol w:w="2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pPr>
            <w:r>
              <w:rPr/>
              <w:t>our future operating results;</w:t>
            </w:r>
          </w:p>
        </w:tc>
      </w:tr>
    </w:tbl>
    <w:p>
      <w:pPr>
        <w:pStyle w:val="TextBody"/>
        <w:bidi w:val="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200"/>
        <w:gridCol w:w="8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the introduction, withdrawal, success and timing of business initiatives and strategies;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political, economic or industry conditions, the interest rate environment or financial and capital markets, which could result in changes in the value of our assets;</w:t>
            </w:r>
          </w:p>
        </w:tc>
      </w:tr>
    </w:tbl>
    <w:p>
      <w:pPr>
        <w:pStyle w:val="TextBody"/>
        <w:bidi w:val="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00"/>
        <w:gridCol w:w="86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the relative and absolute investment performance and operations of our investment adviser;</w:t>
            </w:r>
          </w:p>
        </w:tc>
      </w:tr>
    </w:tbl>
    <w:p>
      <w:pPr>
        <w:pStyle w:val="TextBody"/>
        <w:bidi w:val="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68"/>
        <w:gridCol w:w="200"/>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pPr>
            <w:r>
              <w:rPr/>
              <w:t>the impact of increased competition;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ability to turn potential investment opportunities into transactions and thereafter into completed and successful investments;</w:t>
            </w:r>
          </w:p>
        </w:tc>
      </w:tr>
    </w:tbl>
    <w:p>
      <w:pPr>
        <w:pStyle w:val="TextBody"/>
        <w:bidi w:val="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68"/>
        <w:gridCol w:w="200"/>
        <w:gridCol w:w="5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the unfavorable resolution of any future legal proceedings;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business prospects and the operational and financial performance of our portfolio companies, including our ability to achieve our and their respective objectives as a result of the current economic conditions caused by, among other things, elevated levels of inflation, and uncertainty relating to the interest rate environment, and the effects of the disruptions caused thereby on our ability to continue to effectively manage our business;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interest rate volatility, including the uncertainty relating to the interest rate environment, could adversely affect our results, particularly if we elect to use leverage as part of our investment strategy;</w:t>
            </w:r>
          </w:p>
        </w:tc>
      </w:tr>
    </w:tbl>
    <w:p>
      <w:pPr>
        <w:pStyle w:val="TextBody"/>
        <w:bidi w:val="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68"/>
        <w:gridCol w:w="200"/>
        <w:gridCol w:w="8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pPr>
            <w:r>
              <w:rPr/>
              <w:t>the impact of investments that we expect to make and future acquisitions and divestitures;</w:t>
            </w:r>
          </w:p>
        </w:tc>
      </w:tr>
    </w:tbl>
    <w:p>
      <w:pPr>
        <w:pStyle w:val="TextBody"/>
        <w:bidi w:val="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68"/>
        <w:gridCol w:w="200"/>
        <w:gridCol w:w="6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our contractual arrangements and relationships with third parties;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dependence of our future success on the general economy and its impact on the industries in which we invest;</w:t>
            </w:r>
          </w:p>
        </w:tc>
      </w:tr>
    </w:tbl>
    <w:p>
      <w:pPr>
        <w:pStyle w:val="TextBody"/>
        <w:bidi w:val="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68"/>
        <w:gridCol w:w="200"/>
        <w:gridCol w:w="6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the ability of our portfolio companies to achieve their objectives;</w:t>
            </w:r>
          </w:p>
        </w:tc>
      </w:tr>
    </w:tbl>
    <w:p>
      <w:pPr>
        <w:pStyle w:val="TextBody"/>
        <w:bidi w:val="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68"/>
        <w:gridCol w:w="200"/>
        <w:gridCol w:w="3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pPr>
            <w:r>
              <w:rPr/>
              <w:t>our expected financings and investments;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regulatory structure and tax treatment, including our ability to operate as a BDC, or to operate our SBIC Subsidiaries, and to continue to qualify to be taxed as a RIC;</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68"/>
        <w:gridCol w:w="200"/>
        <w:gridCol w:w="5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pPr>
            <w:r>
              <w:rPr/>
              <w:t>the adequacy of our cash resources and working capital;</w:t>
            </w:r>
          </w:p>
        </w:tc>
      </w:tr>
    </w:tbl>
    <w:p>
      <w:pPr>
        <w:pStyle w:val="TextBody"/>
        <w:bidi w:val="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68"/>
        <w:gridCol w:w="200"/>
        <w:gridCol w:w="75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the timing of cash flows, if any, from the operations of our portfolio companies;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supply chain constraints and labor difficulties on our portfolio companies and the global economy;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elevated level of inflation, and its impact on our portfolio companies and on the industries in which we invest;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uncertainty associated with the imposition of tariffs and trade barriers and changes in trade policy and its impact on our portfolio companies and the global economy;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geopolitical conditions on our portfolio companies and on the industries in which we invest, including the conflict between Ukraine and Russia and turmoil in Europe and the Middle East, and their impact on financial market volatility, global economic markets, and various sectors, industries and markets for commodities globally, such as oil and natural gas;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legislative and regulatory actions and reforms and regulatory, supervisory or enforcement actions of government agencies relating to us or our investment adviser;</w:t>
            </w:r>
          </w:p>
        </w:tc>
      </w:tr>
    </w:tbl>
    <w:p>
      <w:pPr>
        <w:pStyle w:val="TextBody"/>
        <w:bidi w:val="0"/>
        <w:jc w:val="left"/>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68"/>
        <w:gridCol w:w="200"/>
        <w:gridCol w:w="68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pPr>
            <w:r>
              <w:rPr/>
              <w:t>the impact of changes to tax legislation and, generally, our tax position;</w:t>
            </w:r>
          </w:p>
        </w:tc>
      </w:tr>
    </w:tbl>
    <w:p>
      <w:pPr>
        <w:pStyle w:val="TextBody"/>
        <w:bidi w:val="0"/>
        <w:jc w:val="left"/>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68"/>
        <w:gridCol w:w="200"/>
        <w:gridCol w:w="57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pPr>
            <w:r>
              <w:rPr/>
              <w:t>our ability to access capital and any future financings by us;</w:t>
            </w:r>
          </w:p>
        </w:tc>
      </w:tr>
    </w:tbl>
    <w:p>
      <w:pPr>
        <w:pStyle w:val="TextBody"/>
        <w:bidi w:val="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68"/>
        <w:gridCol w:w="200"/>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pPr>
            <w:r>
              <w:rPr/>
              <w:t>the ability of our investment adviser to attract and retain highly talented professionals;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ability of our investment adviser to locate suitable investments for us and to monitor and effectively administer our investments.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our forward-looking statements because the matters they describe are subject to known and unknown risks, uncertainties and other unpredictable factors, many of which are beyond our control. In addition to other information included or incorporated by reference in this prospectus supplement, please read carefully the sections titled “Business,” “Risk Factors” and “Management’s Discussion and Analysis of Financial Condition and Results of Operations” in our most recent Annual Report on Form 10-K and any other documents that we may file with the SEC, as well as the sections entitled “Supplementary Risk Factors” in this prospectus supplement and “Note About Forward-Looking Statements” in the accompanying prospectus, before making any investment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we will receive from the sale of the $20,080,325 aggregate principal amount of Notes in this offering will be approximately $19,432,332.94 (or approximately $22,369,659.72 if the underwriters fully exercise their over-allotment option), in each case, based on the public offering price of 99.6% of the aggregate principal amount of the Notes, after deducting the underwriting discount of $417,670.76 (or $480,320.88 if the underwriters fully exercise their over-allotment option) payable by us and estimated offering expenses of approximately $150,000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Notes to repay a portion of the outstanding indebtedness under the Valley Credit Facility.</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21, 2026, we had $47.5 million of indebtedness outstanding under the Valley Credit Facility. The Valley Credit Facility matures on November 6, 2028, and advances under the Valley Credit Facility bear interest at a floating rate per annum equal to the Term SOFR plus an applicable margin of 2.85%, with a SOFR floor of 1.00%.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w:t>
      </w:r>
    </w:p>
    <w:p>
      <w:pPr>
        <w:pStyle w:val="TextBody"/>
        <w:bidi w:val="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68"/>
        <w:gridCol w:w="305"/>
        <w:gridCol w:w="372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3725" w:type="dxa"/>
            <w:tcBorders/>
            <w:vAlign w:val="center"/>
          </w:tcPr>
          <w:p>
            <w:pPr>
              <w:pStyle w:val="TableContents"/>
              <w:bidi w:val="0"/>
              <w:spacing w:before="0" w:after="283"/>
              <w:jc w:val="both"/>
              <w:rPr/>
            </w:pPr>
            <w:r>
              <w:rPr/>
              <w:t>on an actual basis as of May 31,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for the sale of $97.8 million aggregate principal amount of the Existing Notes, including the underwriters’ full exercise of the overallotment option (the “Existing Notes Issuance”), and the application of the net proceeds therefrom and available cash to redeem $105.5 million in aggregate principal amount of the 6.00% 2027 Notes;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45"/>
        <w:gridCol w:w="9855"/>
      </w:tblGrid>
      <w:tr>
        <w:trPr/>
        <w:tc>
          <w:tcPr>
            <w:tcW w:w="10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(c)</w:t>
            </w:r>
          </w:p>
        </w:tc>
        <w:tc>
          <w:tcPr>
            <w:tcW w:w="9855" w:type="dxa"/>
            <w:tcBorders/>
            <w:vAlign w:val="center"/>
          </w:tcPr>
          <w:p>
            <w:pPr>
              <w:pStyle w:val="TableContents"/>
              <w:bidi w:val="0"/>
              <w:spacing w:before="0" w:after="283"/>
              <w:jc w:val="both"/>
              <w:rPr/>
            </w:pPr>
            <w:r>
              <w:rPr/>
              <w:t>on an as adjusted basis for the Existing Notes Issuance, the sale of $20,080,325  million aggregate principal amount of the Notes offered hereby (assuming no exercise of the option to purchase additional Notes) based on the purchase price paid by the underwriters of 99.6% of the aggregate principal amount of the Notes, after deducting estimated offering expenses of approximately $0.2  million payable by us, and the application of the proceeds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should be read together with “Use of Proceeds” and “Underwriting” included in this prospectus supplement and “Management’s Discussion and Analysis of Financial Condition and Results of Operations” in the accompanying prospectus and our most recent consolidated financial statements and notes thereto included or incorporated by reference in this prospectus supplement and the accompanying prospectus.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5"/>
        <w:gridCol w:w="90"/>
        <w:gridCol w:w="170"/>
        <w:gridCol w:w="1430"/>
        <w:gridCol w:w="125"/>
        <w:gridCol w:w="90"/>
        <w:gridCol w:w="170"/>
        <w:gridCol w:w="1430"/>
        <w:gridCol w:w="125"/>
        <w:gridCol w:w="90"/>
        <w:gridCol w:w="170"/>
        <w:gridCol w:w="1430"/>
        <w:gridCol w:w="170"/>
      </w:tblGrid>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May 31, 2026 </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 xml:space="preserve">for the </w:t>
              <w:br/>
              <w:t xml:space="preserve">Existing </w:t>
              <w:br/>
              <w:t xml:space="preserve">Notes </w:t>
              <w:br/>
              <w:t>Issuance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br/>
              <w:t xml:space="preserve">for this </w:t>
              <w:br/>
              <w:t>Offering</w:t>
            </w:r>
          </w:p>
        </w:tc>
        <w:tc>
          <w:tcPr>
            <w:tcW w:w="17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46,140,915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22,684,665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22,036,673</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Cash and cash equivalents, reserve accounts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14,667,902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14,667,902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14,667,902</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60,808,817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37,352,567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36,704,575</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Borrowings: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Live Oak Credit Facility</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37,500,000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37,500,000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37,500,000</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Valley Credit Facility</w:t>
            </w:r>
            <w:r>
              <w:rPr>
                <w:rFonts w:ascii="Times New Roman;Times;Serif" w:hAnsi="Times New Roman;Times;Serif"/>
                <w:position w:val="7"/>
                <w:sz w:val="16"/>
                <w:sz w:val="20"/>
              </w:rPr>
              <w:t>(2)(3)</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32,500,000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32,500,000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12,419,675</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SBA debentures payable</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213,000,000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213,000,000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213,000,000</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4.35% 2027 Notes</w:t>
            </w:r>
            <w:r>
              <w:rPr>
                <w:rFonts w:ascii="Times New Roman;Times;Serif" w:hAnsi="Times New Roman;Times;Serif"/>
                <w:position w:val="7"/>
                <w:sz w:val="16"/>
                <w:sz w:val="20"/>
              </w:rPr>
              <w:t>(4)</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75,000,000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75,000,000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75,000,000</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2027 Notes</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105,500,000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6.25% 2027 Notes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15,000,000</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 2027 Notes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46,000,000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46,000,000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46,000,000</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8.125% 2027 Notes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60,375,000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60,375,000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60,375,000</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8.50% 2028 Notes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57,500,000</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7.25% 2029 Notes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25,000,000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25,000,000</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7.25% 2030 Notes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50,000,000</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7.50% 2031 Notes</w:t>
            </w:r>
            <w:r>
              <w:rPr>
                <w:rFonts w:ascii="Times New Roman;Times;Serif" w:hAnsi="Times New Roman;Times;Serif"/>
                <w:position w:val="7"/>
                <w:sz w:val="16"/>
                <w:sz w:val="20"/>
              </w:rPr>
              <w:t>(2)</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100,000,000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100,000,000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100,000,000</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offered hereby</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97,750,000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117,830,325</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Stockholders’ equity: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80"/>
              <w:jc w:val="left"/>
              <w:rPr/>
            </w:pPr>
            <w:r>
              <w:rPr/>
              <w:t> </w:t>
            </w:r>
          </w:p>
        </w:tc>
      </w:tr>
      <w:tr>
        <w:trPr/>
        <w:tc>
          <w:tcPr>
            <w:tcW w:w="4715" w:type="dxa"/>
            <w:tcBorders/>
            <w:shd w:fill="CCEEFF" w:val="clear"/>
            <w:vAlign w:val="center"/>
          </w:tcPr>
          <w:p>
            <w:pPr>
              <w:pStyle w:val="TableContents"/>
              <w:bidi w:val="0"/>
              <w:spacing w:before="0" w:after="283"/>
              <w:jc w:val="left"/>
              <w:rPr/>
            </w:pPr>
            <w:r>
              <w:rPr/>
              <w:t>Common stock, par value $0.001 per share (100,000,000 shares authorized; 16,289,025 shares issued and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16,289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16,289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16,289</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Capital in excess of par value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440,588,956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440,588,956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440,588,956</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distributable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(62,150,287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(62,150,287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(62,150,287</w:t>
            </w:r>
          </w:p>
        </w:tc>
        <w:tc>
          <w:tcPr>
            <w:tcW w:w="17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Total net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378,454,958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378,454,958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378,454,958</w:t>
            </w:r>
          </w:p>
        </w:tc>
        <w:tc>
          <w:tcPr>
            <w:tcW w:w="17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 liabilities and net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1,197,424,182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1,173,967,923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1,173,967,923</w:t>
            </w:r>
          </w:p>
        </w:tc>
        <w:tc>
          <w:tcPr>
            <w:tcW w:w="17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Net asset value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23.23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23.23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23.23</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both"/>
              <w:rPr/>
            </w:pPr>
            <w:r>
              <w:rPr/>
              <w:t>Proceeds from the Existing Notes Issuance and the Notes offered hereby are reflected net of customary fees or underwriting commissions, as applicable, and estimated offering expenses.</w:t>
            </w:r>
          </w:p>
        </w:tc>
      </w:tr>
    </w:tbl>
    <w:p>
      <w:pPr>
        <w:pStyle w:val="TextBody"/>
        <w:bidi w:val="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35"/>
        <w:gridCol w:w="4820"/>
      </w:tblGrid>
      <w:tr>
        <w:trPr/>
        <w:tc>
          <w:tcPr>
            <w:tcW w:w="335" w:type="dxa"/>
            <w:tcBorders/>
            <w:vAlign w:val="center"/>
          </w:tcPr>
          <w:p>
            <w:pPr>
              <w:pStyle w:val="TableContents"/>
              <w:bidi w:val="0"/>
              <w:spacing w:before="0" w:after="283"/>
              <w:jc w:val="left"/>
              <w:rPr/>
            </w:pPr>
            <w:r>
              <w:rPr/>
              <w:t>(2)</w:t>
            </w:r>
          </w:p>
        </w:tc>
        <w:tc>
          <w:tcPr>
            <w:tcW w:w="4820" w:type="dxa"/>
            <w:tcBorders/>
            <w:vAlign w:val="center"/>
          </w:tcPr>
          <w:p>
            <w:pPr>
              <w:pStyle w:val="TableContents"/>
              <w:bidi w:val="0"/>
              <w:spacing w:before="0" w:after="283"/>
              <w:jc w:val="both"/>
              <w:rPr/>
            </w:pPr>
            <w:r>
              <w:rPr/>
              <w:t>Before deduction of deferred debt financing costs.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(3)</w:t>
            </w:r>
          </w:p>
        </w:tc>
        <w:tc>
          <w:tcPr>
            <w:tcW w:w="9912" w:type="dxa"/>
            <w:tcBorders/>
            <w:vAlign w:val="center"/>
          </w:tcPr>
          <w:p>
            <w:pPr>
              <w:pStyle w:val="TableContents"/>
              <w:bidi w:val="0"/>
              <w:spacing w:before="0" w:after="283"/>
              <w:jc w:val="both"/>
              <w:rPr/>
            </w:pPr>
            <w:r>
              <w:rPr/>
              <w:t>As of September 21, 2026, there was $47.5 million outstanding under the Valley Credit Facility (which we intend to repay a portion of the outstanding indebtedness thereunder using the proceeds from this offering).</w:t>
            </w:r>
          </w:p>
        </w:tc>
      </w:tr>
    </w:tbl>
    <w:p>
      <w:pPr>
        <w:pStyle w:val="TextBody"/>
        <w:bidi w:val="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335"/>
        <w:gridCol w:w="7700"/>
      </w:tblGrid>
      <w:tr>
        <w:trPr/>
        <w:tc>
          <w:tcPr>
            <w:tcW w:w="335" w:type="dxa"/>
            <w:tcBorders/>
            <w:vAlign w:val="center"/>
          </w:tcPr>
          <w:p>
            <w:pPr>
              <w:pStyle w:val="TableContents"/>
              <w:bidi w:val="0"/>
              <w:spacing w:before="0" w:after="283"/>
              <w:jc w:val="left"/>
              <w:rPr/>
            </w:pPr>
            <w:r>
              <w:rPr/>
              <w:t>(4)</w:t>
            </w:r>
          </w:p>
        </w:tc>
        <w:tc>
          <w:tcPr>
            <w:tcW w:w="7700" w:type="dxa"/>
            <w:tcBorders/>
            <w:vAlign w:val="center"/>
          </w:tcPr>
          <w:p>
            <w:pPr>
              <w:pStyle w:val="TableContents"/>
              <w:bidi w:val="0"/>
              <w:spacing w:before="0" w:after="283"/>
              <w:jc w:val="both"/>
              <w:rPr/>
            </w:pPr>
            <w:r>
              <w:rPr/>
              <w:t>Before discount on debt issuance and deduction of deferred debt financing costs.</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DESCRIPTION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under a base indenture dated May 10, 2013, and an eighteenth supplemental indenture thereto, dated August 26, 2026, between us and the trustee. As used in this section, all references to the indenture mean the base indenture as supplemented by the eighteenth supplemental indenture. The Notes offered hereby will be treated as a single series with the Existing Notes under the indenture and will have the same terms as the Existing Notes (except for the issue date and the offering price). The Notes offered hereby will have the same CUSIP number and will be fungible and rank equally with the Existing Notes. Upon the issuance of the Notes offered hereby, the outstanding aggregate principal amount of our 8.00% Notes due 2031 will be $117,830,325, assuming no exercise of the underwriters’ over-allotment option. We refer to the “Notes” and the “Existing Notes” separately within this prospectus supplement because only the Notes are being offered hereby, but any general discussion of the terms of the Notes also would apply to the Existing Notes because they are treated as a single series under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governed by the indenture, as required by federal law for all bonds and notes of companies that are publicly offered.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below. Second, the trustee performs certain administrative duties for us with respect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includes a summary description of the material terms of the Notes and the indenture. Because this section is a summary, however, it does not describe every aspect of the Notes and the indenture. We urge you to read the indenture because it, and not this description, defines your rights as a holder of the Notes. The base indenture has been attached as an exhibit to the registration statement of which this prospectus supplement is a part and the eighteenth supplemental indenture has been included as an exhibit to a Current Report on Form 8-K, which is incorporated by reference into this prospectus supplement, in each case, as filed with the SEC. See “Available Information” in this prospectus supplement for information on how to obtain a copy of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August 31, 2031. The principal payable at maturity will be 100% of the aggregate principal amount. The interest rate of the Notes is 8.00% per year and will be paid every February 28, May 31, August 31, and November 30, beginning November 30, 2026, and the regular record dates for interest payments will be every February 15, May 15, August 15, and November 15, beginning November 15,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interest payment date falls on a non-business day, the applicable interest payment will be made on the next business day and no additional interest will accrue as a result of such delayed payment. Interest on the Notes offered hereby will accrue from and including August 26, 2026 up to, but not including, the date of delivery (the “Aggregate Accrued Interest”). On the initial interest payment date, November 30, 2026, we will pay the Aggregate Accrued Interest to the holders of the Notes offered hereby as of the applicable record date along with interest accrued on the Notes offered hereby from the date of delivery to such interest payment date. If you sell your Notes before the initial regular record date for interest, you will not receive the Aggregate Accrued Interest. The subsequent interest periods will be the periods from and including an interest payment date to, but excluding, the next interest payment date or the stated maturity date, as the case may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“business day” means, with respect to any Note, each Monday, Tuesday, Wednesday, Thursday, and Friday that is not a day on which banking institutions in The City of New York are authorized or obligated by law or executive order to close.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Notes in denominations of $25 and integral multiples of $25 in excess thereof. The Notes will not be subject to any sinking fund and holders of the Notes will not have the option to have the Notes repaid prior to the stated maturity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under the captions “— Events of Default,” “— Other Covenants,” and “— Merger or Consolidation” in this prospectus, the indenture does not contain any provisions that give you protection in the event we issue a large amount of debt or we are acquired by another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 Other Covenants” and “— Events of Default.” Other than the foregoing and as described under “— Other Covenants” and “— Events of Default” below, the indenture does not contain any financial covenants and does not restrict us from paying dividends or issuing or repurchasing our other securities. The indenture does not contain any covenants or other provisions designed to afford holders of the Notes protection in the event of a highly leveraged transaction involving us or if our credit rating declines as the result of a takeover, recapitalization, highly leveraged transaction or similar restructuring involving us that could adversely affect your investment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without the consent of the holders of the Notes, issue additional notes under the indenture with the same terms (except for the issue date, public offering price, and if applicable, the initial interest payment date) and with the same CUSIP numbers as the Notes offered hereby in an unlimited aggregate principal amount; provided that such additional notes must be treated as part of the same issue as the Notes offered hereby for U.S. federal income tax purposes. In addition, we have the ability to issue indenture securities with terms different from the Notes. The $20,080,325  million aggregate principal amount of the Notes offered hereby will be issued as additional Notes under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may be redeemed in whole or in part at any time or from time to time at our option on or after August 26, 2028, upon not less than 30 days nor more than 60 days written notice by mail prior to the date fixed for redemption thereof, at a redemption price of 100% of the outstanding principal amount of the Notes to be redeemed plus accrued and unpaid interest payments otherwise payable thereon for the then-current quarterly interest period accrued thereon to, but not including, the redemption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indenture, the terms of the Live Oak Credit Facility, the Valley Credit Facility and the 1940 Act, to the extent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only some of the Notes, the trustee or, with respect to global securities, DTC will determine the method for selection of the particular Notes to be redeemed, in accordance with the indenture and the 1940 Act, to the extent applicable,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will be issued in book-entry form and represented by a global security that we deposit with and register in the name of The Depository Trust Company, New York, New York, known as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Book-Entry Procedures”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 Global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Notes directly or in street name will be up to the investor. Investors must consult their own banks or brokers to find out how to have their interests in a global security transferred on termination to their own names, so that they will be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Global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Certificated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at our option, we may pay any cash interest that becomes due on the Notes by mailing a check to the holder at his, her or its address shown on the trustee’s records as of the close of business on the regular record date or by transfer to an account at a bank in the United States, in either case, on the due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When Offices Are 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they will receive payments on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rights if an Event of Default occurs in respect of the Notes and the Event of Default is not cured, as described later in this subsection.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in respect of the Notes means any of the following:</w:t>
      </w:r>
    </w:p>
    <w:p>
      <w:pPr>
        <w:pStyle w:val="TextBody"/>
        <w:bidi w:val="0"/>
        <w:spacing w:before="0" w:after="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68"/>
        <w:gridCol w:w="200"/>
        <w:gridCol w:w="68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pPr>
            <w:r>
              <w:rPr/>
              <w:t>we do not pay the principal (or premium, if any) of any Note when due;</w:t>
            </w:r>
          </w:p>
        </w:tc>
      </w:tr>
    </w:tbl>
    <w:p>
      <w:pPr>
        <w:pStyle w:val="TextBody"/>
        <w:bidi w:val="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we do not pay interest on any Note when due, and such default is not cured within 30 days;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remain in breach of any other covenant in respect of the Notes for 60 days after we receive a written notice of default stating we are in breach (the notice must be sent by either the trustee or holders of at least 25% of the principal amount of the outstanding Notes);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file for bankruptcy or certain other events of bankruptcy, insolvency or reorganization occur and in the case of certain orders or decrees entered against us under bankruptcy law, such order or decree remains undischarged or unstayed for a period of 60 days;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the last business day of each of twenty-four consecutive calendar months, the Notes have the asset coverage, as defined in the 1940 Act, of less than 100% after giving effect to any exemptive relief granted to us by the SEC.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Remedies if an Event of Default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or the holders of not less than 25% in principal amount of the Notes may declare the entire principal amount of all the Notes to be due and immediately payable. This is called a declaration of acceleration of maturity. In certain circumstances, a declaration of acceleration of maturity may be canceled by the holders of a majority in principal amount of the Notes if (1) we have deposited with the trustee all amounts due and owing with respect to the Notes (other than principal that has become due solely by reason of such acceleration) and certain other amounts, and (2) any other Events of Default have been cured or waived.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are allowed to bypass the trustee and bring your own lawsuit or other formal legal action or take other steps to enforce your rights or protect your interests relating to the Notes, the following must occur:</w:t>
      </w:r>
    </w:p>
    <w:p>
      <w:pPr>
        <w:pStyle w:val="TextBody"/>
        <w:bidi w:val="0"/>
        <w:jc w:val="left"/>
        <w:rPr>
          <w:caps w:val="false"/>
          <w:smallCaps w:val="false"/>
        </w:rPr>
      </w:pPr>
      <w:r>
        <w:rPr>
          <w:caps w:val="false"/>
          <w:smallCaps w:val="false"/>
        </w:rPr>
        <w:t> </w:t>
      </w:r>
    </w:p>
    <w:tbl>
      <w:tblPr>
        <w:tblW w:w="9738" w:type="dxa"/>
        <w:jc w:val="left"/>
        <w:tblInd w:w="0" w:type="dxa"/>
        <w:tblLayout w:type="fixed"/>
        <w:tblCellMar>
          <w:top w:w="0" w:type="dxa"/>
          <w:left w:w="0" w:type="dxa"/>
          <w:bottom w:w="0" w:type="dxa"/>
          <w:right w:w="0" w:type="dxa"/>
        </w:tblCellMar>
      </w:tblPr>
      <w:tblGrid>
        <w:gridCol w:w="68"/>
        <w:gridCol w:w="200"/>
        <w:gridCol w:w="94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you must give the trustee written notice that an Event of Default has occurred and remains uncured;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holders of at least 25% in principal amount of all the Notes must make a written request that the trustee take action because of the default and must offer reasonable indemnity and/or security to the trustee against the cost and other liabilities of taking that action;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trustee must not have taken action for 60 days after receipt of the above notice and offer of indemnity and/or security;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holders of a majority in principal amount of the Notes must not have given the trustee a direction inconsistent with the above notice during that 60-day period.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you are entitled at any time to bring a lawsuit for the payment of money due on your Notes on or after the due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we will furnish to the trustee a written statement of certain of our officers certifying that to their knowledge we are in compliance with the indenture and the Notes, or else specifying any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Notes may waive any past defaults other than:</w:t>
      </w:r>
    </w:p>
    <w:p>
      <w:pPr>
        <w:pStyle w:val="TextBody"/>
        <w:bidi w:val="0"/>
        <w:spacing w:before="0" w:after="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68"/>
        <w:gridCol w:w="200"/>
        <w:gridCol w:w="3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the payment of principal or interest; or</w:t>
            </w:r>
          </w:p>
        </w:tc>
      </w:tr>
    </w:tbl>
    <w:p>
      <w:pPr>
        <w:pStyle w:val="TextBody"/>
        <w:bidi w:val="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68"/>
        <w:gridCol w:w="200"/>
        <w:gridCol w:w="9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in respect of a covenant that cannot be modified or amended without the consent of each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where we merge out of existence or convey or transfer our assets substantially as an entirety, the resulting entity must agree to be legally responsible for our obligations under the Notes;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merger or sale of assets must not cause a default on the Notes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 and</w:t>
            </w:r>
          </w:p>
        </w:tc>
      </w:tr>
    </w:tbl>
    <w:p>
      <w:pPr>
        <w:pStyle w:val="TextBody"/>
        <w:bidi w:val="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68"/>
        <w:gridCol w:w="200"/>
        <w:gridCol w:w="61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we must deliver certain certificates and documents to the trustee.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types of changes we can make to the indenture and the Notes issued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Your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we cannot make to your Notes without your specific approval. The following is a list of those types of changes:</w:t>
      </w:r>
    </w:p>
    <w:p>
      <w:pPr>
        <w:pStyle w:val="TextBody"/>
        <w:bidi w:val="0"/>
        <w:jc w:val="left"/>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68"/>
        <w:gridCol w:w="200"/>
        <w:gridCol w:w="66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pPr>
            <w:r>
              <w:rPr/>
              <w:t>change the stated maturity of the principal of or interest on the Notes;</w:t>
            </w:r>
          </w:p>
        </w:tc>
      </w:tr>
    </w:tbl>
    <w:p>
      <w:pPr>
        <w:pStyle w:val="TextBody"/>
        <w:bidi w:val="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68"/>
        <w:gridCol w:w="200"/>
        <w:gridCol w:w="3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10" w:type="dxa"/>
            <w:tcBorders/>
            <w:vAlign w:val="center"/>
          </w:tcPr>
          <w:p>
            <w:pPr>
              <w:pStyle w:val="TableContents"/>
              <w:bidi w:val="0"/>
              <w:spacing w:before="0" w:after="283"/>
              <w:jc w:val="both"/>
              <w:rPr/>
            </w:pPr>
            <w:r>
              <w:rPr/>
              <w:t>reduce any amounts due on the Notes;</w:t>
            </w:r>
          </w:p>
        </w:tc>
      </w:tr>
    </w:tbl>
    <w:p>
      <w:pPr>
        <w:pStyle w:val="TextBody"/>
        <w:bidi w:val="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68"/>
        <w:gridCol w:w="200"/>
        <w:gridCol w:w="97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reduce the amount of principal payable upon acceleration of the maturity of a Note following a default;</w:t>
            </w:r>
          </w:p>
        </w:tc>
      </w:tr>
    </w:tbl>
    <w:p>
      <w:pPr>
        <w:pStyle w:val="TextBody"/>
        <w:bidi w:val="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68"/>
        <w:gridCol w:w="200"/>
        <w:gridCol w:w="3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impair your right to sue for payment;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reduce the percentage of holders of Notes whose consent is needed to modify or amend the indenture;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reduce the percentage of holders of Notes whose consent is needed to waive compliance with certain provisions of the indenture or to waive certain defaults.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Not Requiring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the Notes. This type is limited to clarifications and certain other changes that would not adversely affect holders of the Notes in any material respect.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Majority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Notes would require the following approval: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the change affects only the Notes, it must be approved by the holders of a majority in principal amount of the Notes;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 Changes Requiring Your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Details Concerning Voting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we will use the following rules to decide how much principal to attribute to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considered outstanding, and therefore not eligible to vote, if we have deposited or set aside in trust money for their payment or redemption. The Notes will also not be eligible to vote if they have been fully defeased as described later under “— Defeasance — Full Defeasance”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set any day as a record date for the purpose of determining the holders of the Notes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the Notes, that vote or action may be taken only by persons who are holders of the Notes on the record date and must be taken within eleven months following the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we seek to change the indenture or the Notes or request a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defeasance provisions are applicable to the Notes. “Defeasance” means that, by depositing with a trustee an amount of cash and/or government securities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relating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If we achieve covenant defeasance and your Notes were subordinated as described under “Indenture Provisions — Ranking” below, such subordination would not prevent the trustee under the indenture from applying the funds available to it from the deposit described in the first bullet to the payment of amounts due in respect of such debt securities for the benefit of the subordinated debtholders. In order to achieve covenant defeasance, we must do the following: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because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must deliver to the trustee a legal opinion of our counsel confirming that, under current U.S. federal income tax law, we may make the above deposit without causing you to be taxed on the Notes any differently than if we did not make the deposit;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defeasance must not result in a breach or violation of, or result in a default under, the indenture or any of our other material agreements or instruments;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no default or event of default with respect to the Notes shall have occurred and be continuing and no defaults or events of default related to bankruptcy, insolvency or reorganization shall occur during the next 90 days.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accomplish covenant defeasance, you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you may not be able to obtain payment of the shortfall.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Defeasance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income tax law, as described below, we can legally release ourselves from all payment and other obligations on the Notes (called “full defeasance”) if we put in place the following other arrangements for you to be repaid: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since the Notes are denominated in U.S. dollars, we must deposit in trust for the benefit of all holders of the Notes a combination of money and U.S. government or U.S. government agency notes or bonds that will generate enough cash to make interest, principal and any other payments on the Notes on their various due dates;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must deliver to the trustee a legal opinion confirming that there has been a change in current U.S. federal tax law or an Internal Revenue Service (“IRS”) ruling that allows us to make the above deposit without causing you to be taxed on the Notes any differently than if we did not make the deposit. Under current U.S. federal tax law the deposit and our legal release from the Notes would be treated as though we paid you your shares of the cash and notes or bonds at the time the cash and notes or bonds were deposited in trust in exchange for your Notes and you would recognize gain or loss on the Notes at the time of the deposit;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defeasance must not result in a breach or violation of, or constitute a default under, the indenture or any of our other material agreements or instruments;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no default or event of default with respect to the Notes shall have occurred and be continuing and no defaults or events of default related to bankruptcy, insolvency or reorganization shall occur during the next 90 days.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ever did accomplish full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 If your Notes were subordinated as described later under “— Indenture Provisions — Ranking,” such subordination would not prevent the trustee under the Indenture from applying the funds available to it from the deposit referred to in the first bullet of the preceding paragraph to the payment of amounts due in respect of such Notes for the benefit of the subordinated debtholders.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Covenants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covenants described in this prospectus supplement and the accompanying prospectus, as well as standard covenants relating to payment of principal and interest, maintaining an office where payments may be made or securities can be surrendered for payment, payment of taxes by the Company and related matters, the following covenants will apply to the Notes: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agree that for the period of time during which the Notes are outstanding, we will not violate Section 18(a)(1)(A) as modified by Section 61(a)(2) of the 1940 Act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150% after such borrowings.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agree that for the period of time during which the Notes are outstanding, we will not violate Section 18(a)(1)(B) as modified by (i) Section 61(a)(2) of the 1940 Act or any successor provisions and after giving effect to any exemptive relief granted to us by the SEC and (ii) the two other exceptions set forth below. These statutory provisions of the 1940 Act are not currently applicable to us and will not be applicable to us as a result of this offering. However, if Section 18(a)(1)(B) as modified by Section 61(a)(2) of the 1940 Act were currently applicable to us in connection with this offering, these provisions would generally prohibit us from declaring any cash dividend or distribution upon any class of our capital stock or purchasing any such capital stock if our asset coverage, as defined in the 1940 Act, was below 150% at the time of the declaration of the dividend or distribution or the purchase and after deducting the amount of such dividend, distribution, or purchase. Under the covenant, we will be permitted to declare a cash dividend or distribution notwithstanding the prohibition contained in Section 18(a)(1)(B) as modified by Section 61(a)(2) of the 1940 Act or any successor provisions, but only up to such amount as is necessary for us to maintain our status as a RIC under subchapter M of the Code. Furthermore, the covenant will not be triggered unless and until such time as our asset coverage has not been in compliance with the minimum asset coverage required by Section 18(a)(1)(B) as modified by Section 61(a)(2) of the 1940 Act or any successor provisions (after giving effect to any exemptive relief granted to us by the SEC) for more than six consecutive months.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Rating Maintenance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underwriting agreement, the Company has agreed to use commercially reasonable efforts to maintain a credit rating on the Notes by an NRSRO. Lucid Capital Markets, on behalf of the underwriters, at its sole discretion, may waive the requirement to maintain a rating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 of Certificated 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Notes cease to be issued in book-entry form, they will be issued:</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491"/>
        <w:gridCol w:w="9548"/>
      </w:tblGrid>
      <w:tr>
        <w:trPr/>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pPr>
            <w:r>
              <w:rPr/>
              <w:t>only in fully registered certificated form;</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1"/>
        <w:gridCol w:w="650"/>
        <w:gridCol w:w="9334"/>
      </w:tblGrid>
      <w:tr>
        <w:trPr/>
        <w:tc>
          <w:tcPr>
            <w:tcW w:w="2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w:t>
            </w:r>
          </w:p>
        </w:tc>
        <w:tc>
          <w:tcPr>
            <w:tcW w:w="9334" w:type="dxa"/>
            <w:tcBorders/>
            <w:vAlign w:val="center"/>
          </w:tcPr>
          <w:p>
            <w:pPr>
              <w:pStyle w:val="TableContents"/>
              <w:bidi w:val="0"/>
              <w:spacing w:before="0" w:after="283"/>
              <w:jc w:val="left"/>
              <w:rPr/>
            </w:pPr>
            <w:r>
              <w:rPr/>
              <w:t>without interest coupons;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left"/>
              <w:rPr/>
            </w:pPr>
            <w:r>
              <w:rPr/>
              <w:t>unless we indicate otherwise, in denominations of $25 and amounts that are multiples of $25.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appoint additional transfer agents or cancel the appointment of any particular transfer agent. We also may approve a change in the office through which any transfer agent 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certificated securities of a particular series are redeemable and we redeem less than all the Notes, we may block the transfer or exchange of those Notes selected for redemption during the period beginning 15 days before the day we mail the notice of redemption and ending on the day of that mailing, in order to freeze the list of holders to prepare the mailing. We also may refuse to register transfers or exchanges of any certificated Notes selected for redemption, except that we will continue to permit transfers and exchanges of the unredeemed portion of any Note that will be partially redeemed.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Notes are issued in book-entry form, only the depositary will be entitled to transfer and exchange the Notes as described in this subsection, since it will be the sole holder of the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 Provisions — Ranking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our direct unsecured obligations and rank:</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our other outstanding and future unsecured, unsubordinated indebtedness, including, as of September 21, 2026, $75.0 million principal amount outstanding of 4.35% 2027 Notes, $15.0 million principal amount outstanding of 6.25% 2027 Notes, $46.0 million principal amount outstanding of 8.00% 2027 Notes, $60.375 million principal amount outstanding of 8.125% 2027 Notes, $57.5 million principal amount outstanding of 8.50% 2028 Notes, $25.0 million principal amount outstanding of 7.25% 2029 Notes, $50.0 million principal amount outstanding of 7.25% 2030 Notes, and $100.0 million principal amount outstanding of 7.50% 2031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senior to any of our future indebtedness that expressly provides it is subordinated to the Notes. We currently do not have outstanding debt that is subordinated to the Notes and do not currently intend to issue indebtedness that expressly provides that it is subordinated to the Notes. Therefore, the Notes will not be senior to any indebtedness or obligations;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effectively subordinated to all of our existing and future secured indebtedness (including indebtedness that is initially unsecured to which we have granted or subsequently grant security), to the extent of the value of the assets securing such indebtedness. In any liquidation, dissolution, bankruptcy or other similar proceeding, the holders of any of our existing or future secured indebtedness may assert rights against the assets pledged to secure that indebtedness in order to receive full payment of their indebtedness before the assets may be used to pay other creditors, including the holders of the Notes, and any assets of our subsidiaries will not be directly available to satisfy the claims of our creditors, including holders of the Notes;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structurally subordinated to all existing and future indebtedness and other obligations of any of our subsidiaries because the Notes are obligations exclusively of Saratoga Investment Corp. and not of any of our subsidiaries. Structural subordination means that creditors of a parent entity are subordinate to creditors of a subsidiary entity with respect to the subsidiary’s assets. Upon issuance of the Notes, the Notes will be structurally subordinated to the borrowings under the Live Oak Credit Facility and the Valley Credit Facility (which we intend to repay a portion of the outstanding indebtedness thereunder using the proceeds from this offering), of which $37.5 million and $47.5 million, respectively, is outstanding thereunder as of September 21, 2026, and the $259.0 million in SBA-guaranteed debentures of the SBIC Subsidiaries outstanding as of September 21,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Notes are and the Notes offered hereby will be represented by global securities that will be deposited and registered in the name of DTC or its nominee. This means that, except in limited circumstances, you will not receive certificates for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the Existing Notes are and the Notes offered hereby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offered hereby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 of AA+. The DTC Rules applicable to its participants are on file with the SEC. More information about DTC can be found at </w:t>
      </w:r>
      <w:r>
        <w:rPr>
          <w:rFonts w:ascii="Times New Roman;Times;Serif" w:hAnsi="Times New Roman;Times;Serif"/>
          <w:b w:val="false"/>
          <w:i/>
          <w:caps w:val="false"/>
          <w:smallCaps w:val="false"/>
          <w:sz w:val="20"/>
        </w:rPr>
        <w:t xml:space="preserve">www.dtcc.com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www.dtc.org</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shall be sent to DTC. If less than all of the Notes within an issue are being redeemed, DTC’s practice is to determine by lot the amount of the interest of each Direct Participant in such issue to be redeemed.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section concerning DTC and DTC’s book-entry system has been obtained from sources that we believe to be reliable, but neither we nor any of the underwriters take any responsibility for the accuracy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CERTAIN U.S. FEDERAL INCOME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certain U.S. federal income tax consequences applicable to an investment in the Notes. This summary does not purport to be a complete description of the U.S. federal income tax considerations applicable to such an investment. The summary is based upon the Code, U.S. Treasury regulations, and administrative and judicial interpretations, each as of the date of this prospectus supplement and all of which are subject to change at any time, potentially with retroactive effect, or to different interpretations, which could affect the continuing validity of this discussion and be applied in a manner that could adversely affect a holder of the Notes. We cannot assure you that the IRS will not challenge one or more of the tax consequences described in this summary, and we have not obtained, nor do we intend to obtain, any ruling from the IRS or opinion of counsel with respect to the tax consequences of an investment in the Notes. Investors should consult their own tax advisors with respect to tax considerations that pertain to their investment in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discusses only Notes held as capital assets within the meaning of the Code (generally, property held for investment purposes) and does not purport to address persons in special tax situations, such as banks and other financial institutions, insurance companies, controlled foreign corporations, passive foreign investment companies, real estate investment trusts and RICs (and shareholders of such corporations), dealers in securities or currencies, traders in securities, certain former citizens or long-term residents of the United States, persons holding the Notes as a position in a “straddle,” “hedge,” “constructive sale transaction,” “conversion transaction,” “wash sale” or other integrated transaction for U.S. federal income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U.S. holders (as defined below) whose functional currency (as defined in the Code) is not the U.S. dollar. It also does not address beneficial owners of the Notes other than original purchasers of the Notes who acquire the Notes in this offering for cash at a price equal to their issue price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the first price at which a substantial amount of the Notes is sold for money to investors (other than to bond houses, brokers, or similar persons or organizations acting in the capacity of underwriters, placements agents or wholesalers)). This discussion also does not address the U.S. federal income tax consequences to beneficial owners of the Notes subject to the special tax accounting rules under Section 451(b) of the Code. In addition, this summary only addresses U.S. federal income tax consequences, and does not address other U.S. federal tax consequences, including, for example, estate or gift tax consequences. This summary also does not address any U.S. state or local or non-U.S. tax consequences. Investors considering purchasing the Notes should consult their own tax advisors concerning the application of the U.S. federal income tax laws to their individual circumstances, as well as any consequences to such investors relating to purchasing, owning and disposing of the Notes under the laws of any state, local, foreign or other taxing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“U.S. holder” means a beneficial owner of a Note that is, for U.S. federal income tax purposes: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332"/>
        <w:gridCol w:w="9761"/>
      </w:tblGrid>
      <w:tr>
        <w:trPr/>
        <w:tc>
          <w:tcPr>
            <w:tcW w:w="1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left"/>
              <w:rPr/>
            </w:pPr>
            <w:r>
              <w:rPr/>
              <w:t>an individual who is a citizen or resident of the United States;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corporation (or other entity treated as a corporation) created or organized in or under the laws of the United States, any state thereof, or the District of Columbia;</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trust (i) the administration of which is subject to the primary supervision of a U.S. court and that has one or more “United States persons” (within the meaning of the Code) that have the authority to control all substantial decisions of the trust or (ii) that has made a valid election under applicable U.S. Treasury regulations to be treated as a “United States person” (within the meaning of the Code); 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8"/>
        <w:gridCol w:w="9914"/>
      </w:tblGrid>
      <w:tr>
        <w:trPr/>
        <w:tc>
          <w:tcPr>
            <w:tcW w:w="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left"/>
              <w:rPr/>
            </w:pPr>
            <w:r>
              <w:rPr/>
              <w:t>an estate the income of which is subject to U.S. federal income taxation regardless of its source.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a beneficial owner of a Note who is neither a U.S. holder nor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Qualified Reopening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treat, for U.S. federal income tax purposes, the issuance of the Notes offered hereby as a “qualified reopening” of the Existing Notes. Accordingly, we intend to treat the Notes offered hereby as having the same issue date and the same issue price as the Existing Notes. The remainder of this summary assumes this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Notes offered hereby will accrue from August 26, 2026, up to, but not including, the date of delivery (the “Aggregate Accrued Interest”). On the initial interest payment date, November 30, 2026, we will pay this Aggregate Accrued Interest to the holders of the Notes offered hereby as of the applicable record date along with interest accrued on the Notes offered hereby from the date of delivery to such interest payment date. We intend to take the position that a portion of the interest payment received on the first interest payment date following the issuance of the Notes that equals the Aggregate Accrued Interest as a return of the Aggregate Accrued Interest, rather than an amount payable on such Notes. If this position is respected a portion of the interest payment received by a holder on the first interest payment date following the issuance of the Notes will be treated as a non-taxable return of the Aggregate Accrued Interest paid by the holder, rather than as taxable interest, and will, when received, reduce the holder’s tax basis in the Notes. Holders should consult their own tax advisors concerning the tax treatment of the Aggregate Accrued Interest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U.S. federal income tax consequences that will apply to you if you are a “U.S. holder” of a Note. Because the Notes offered hereby are treated as having an issue price equal to their stated principal amount, the Notes will not be treated as having been issued with original issue discount for U.S. federal income tax purposes. A U.S. holder who acquires a Note at a price (excluding Aggregate Accrued Interest) that is less than the stated principal amount should consult the discussion below under “Market Discount.”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interest on the Notes (other than Aggregate Accrued Interest as described above) generally will be taxable to a U.S. holder as ordinary income at the time it is received or accrued, depending on the holder’s method of accounting for United States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Amortizable Bond Premium.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purchases a Note for an amount (excluding any amount attributable to Aggregate Accrued Interest described above) in excess of its stated principal amount, the U.S. holder will be considered to have purchased the Note with “premium” equal to such excess. If so, a U.S. holder generally may elect to amortize the premium over the remaining term of the Note on a constant yield method as an offset to interest when included in income in accordance with such U.S. holder’s regular method of tax accounting. Any amount of the premium amortized for a taxable year generally will be treated first as a reduction of interest on the Note includible in income in the U.S. holder’s gross income in such taxable year, then as a deduction allowed in that taxable year to the extent of the U.S. holder’s prior interest inclusions on the Note and finally as a carryforward allocable against the U.S. holder’s future interest inclusions on the Note, in each case, under the U.S. holder’s regular accounting method. If a U.S. holder makes this election, the U.S. holder will be required to reduce the U.S. holder’s adjusted tax basis in the Note by the amount of the premium amortized. If the U.S. holder does not elect to amortize the premium, that premium will decrease the gain or increase the loss the U.S. holder would otherwise recognize on disposition of the Note. An election to amortize premium will also apply to all other taxable debt instruments (other than debt obligations the interest on which is excludable from gross income) held or subsequently acquired by the U.S. holder on or after the first day of the first taxable year for which the election is made. Such an election may not be revoked without the consent of the IRS. U.S. holders should consult their own tax advisors about this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Discount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amount paid for a Note by a U.S. holder (excluding any amount attributable to Aggregate Accrued Interest) is less than the stated principal amount of the Note by more than a statutorily defined de minimis threshold, the U.S. holder generally would be considered to have “market discount” for U.S. federal income tax purposes equal to the amount of such difference. In the case of a Note acquired pursuant to this offering, a discount will be considered de minimis and thus will not give rise to market discount if it is less than 1/4 of 1% of the stated principal amount of the Note multiplied by the number of complete years to maturity. Under the market discount rules, market discount generally must be accrued over the term of the Note, and any partial payment of principal on a Note, or any gain on the sale, exchange, redemption, retirement or other disposition of a Note, generally must be treated as ordinary income to the extent of the accrued market discount (unless the holder makes an election to include the market discount in income as it accrues). In addition, a holder of a Note with market discount may be required to defer, until the maturity of the Note or its earlier disposition in a taxable transaction, the deduction of all or a portion of the interest expense on any indebtedness incurred or continued to purchase or carry the Note. Prospective purchasers of the Notes are urged to consult their tax advisors with respect to the rules relating to market discount and the application of those rules to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Retirement or Other Taxable Disposition of a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exchange, redemption, retirement or other taxable disposition of a Note, a U.S. holder generally will recognize capital gain or loss equal to the difference, if any, between the amount realized on the sale, exchange, redemption, retirement or other taxable disposition (excluding amounts representing accrued and unpaid interest, including Aggregate Accrued Interest, as discussed above, which will be treated in the manner described above) and the U.S. holder’s adjusted tax basis in the Note. A U.S. holder’s adjusted tax basis in a Note generally will equal the U.S. holder’s initial investment in the Note less any principal payments received by the U.S. holder. Any gain or loss generally will be long-term capital gain or loss if the Note was held for more than one year at the time of disposition. Otherwise, such gain or loss will be a short-term gain or loss. Long-term capital gains recognized by individuals and certain other non-corporate U.S. holders generally are eligible for reduced rates of tax. The deductibility of capital losses may be subject to limitations under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Tax on Net Investment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surtax of 3.8% is imposed on certain “net investment income” (or “undistributed net investment income,” in the case of certain U.S. holders that are estates and trusts) received by individuals with modified adjusted gross incomes in excess of $200,000 ($250,000 in the case of married individuals filing jointly and $125,000 in the case of married individuals filing a separate return) and certain estates and trusts. “Net investment income” generally includes interest payments on, and gain recognized from the sale, exchange, redemption, retirement or other taxable disposition of, the Notes, less certain deductions. U.S. holders should consult their own tax advisors regarding the effect, if any, of this surtax on their ownership and disposition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Backup Withholding and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information reporting and backup withholding when such U.S. holder receives interest payments on the Notes held by such U.S. holders or upon the proceeds received upon the sale or other disposition of such Notes (including a redemption or retirement of the Notes). Certain U.S. holders, such as corporations, generally are not subject to information reporting or backup withholding. A U.S. holder will be subject to backup withholding if such U.S. holder is not otherwise exempt and: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U.S. holder fails to furnish the U.S. holder’s taxpayer identification number (“TIN”), which, for an individual, generally is his or her social security number;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3"/>
        <w:gridCol w:w="9840"/>
      </w:tblGrid>
      <w:tr>
        <w:trPr/>
        <w:tc>
          <w:tcPr>
            <w:tcW w:w="9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w:t>
            </w:r>
          </w:p>
        </w:tc>
        <w:tc>
          <w:tcPr>
            <w:tcW w:w="9840" w:type="dxa"/>
            <w:tcBorders/>
            <w:vAlign w:val="center"/>
          </w:tcPr>
          <w:p>
            <w:pPr>
              <w:pStyle w:val="TableContents"/>
              <w:bidi w:val="0"/>
              <w:spacing w:before="0" w:after="283"/>
              <w:jc w:val="both"/>
              <w:rPr/>
            </w:pPr>
            <w:r>
              <w:rPr/>
              <w:t>the IRS notifies the payor that such U.S. holder furnished an incorrect TIN;</w:t>
            </w:r>
          </w:p>
        </w:tc>
      </w:tr>
    </w:tbl>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we are notified by the IRS that the U.S. holder has failed properly to report payments of interest or dividends; 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such U.S. holder fails to certify, under penalties of perjury, on an IRS Form W-9 (Request for Taxpayer Identification Number and Certification) or a suitable substitute form (or other applicable certificate), that the U.S. holder has furnished a correct TIN and that the IRS has not notified the U.S. holder that the U.S. holder is subject to backup withholding.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U.S. federal income tax consequences that will apply to you if you are a “Non-U.S. holder” of a Note. Non-U.S. holders should consult their tax advisors to determine the U.S. federal, state, local and other tax consequences that may be relevant to them including any reporting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on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concerning backup withholding and FATCA (as defined below), generally, stated interest paid or accrued to a Non-U.S. holder that is not effectively connected with the Non-U.S. holder’s conduct of a trade or business in the United States (a “U.S. trade or business”) is subject to U.S. withholding tax imposed at a rate of 30% (or, if applicable, a reduced rate pursuant to an applicable income tax treaty). Nevertheless, interest paid or accrued on a Note to a Non-U.S. holder that is not effectively connected with the Non-U.S. holder’s conduct of a U.S. trade or business generally will not be subject to U.S. federal withholding tax provided that: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such Non-U.S. holder does not directly, indirectly or constructively own 10% or more of the total combined voting power of all classes of our voting stock;</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such Non-U.S. holder is neither a controlled foreign corporation that is related to us through direct, indirect or constructive stock ownership nor a bank that received such interest on an extension of credit made pursuant to a loan agreement entered into in the ordinary course of its trade or business;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one of the following applies: (1) such Non-U.S. holder certifies, prior to the payment of interest, in a statement (generally, a properly executed IRS Form W-8BEN or IRS Form W-8BEN-E, as applicable, or a suitable substitute) provided to us or the paying agent, under penalties of perjury, that it is the beneficial owner of the Notes and not a “United States person” within the meaning of the Code and provides its name and address, (2) a securities clearing organization, bank or other financial institution that holds customers’ securities in the ordinary course of its trade or business and holds the Note on behalf of such Non-U.S. holder certifies to us or the paying agent, prior to the payment of interest, under penalties of perjury that it, or the financial institution between it and the Non-U.S. holder, has received from the Non-U.S. holder a statement, under penalties of perjury, that such Non-U.S. holder is the beneficial owner of the Notes and is not a United States person and provides us or the paying agent with a copy of such statement or (3) such Non-U.S. holder holds its Note through a “qualified intermediary” and certain conditions are satisfied.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above conditions are not met, a Non-U.S. holder generally will be entitled to a reduction in or an exemption from U.S. federal withholding tax on interest if the Non-U.S. holder provides us or our paying agent, prior to the payment of interest, with a properly executed IRS Form W-8BEN or IRS Form W-8BEN-E, as applicable, or a suitable substitute form claiming an exemption from or reduction of the U.S. federal withholding tax under the benefit of an income tax treaty between the United States and the Non-U.S. holder’s country of residence. A Non-U.S. holder is required to inform the recipient of any change in the information on such statement within 30 days of such change. Special certification rules apply if a Non-U.S. holder holds its Note through a pass-through entity or who hold a Note through an agent or intermediary.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interest on the Notes is effectively connected with a Non-U.S. holder’s conduct of a U.S. trade or business (and, if required by an applicable income tax treaty, such Non-U.S. holder maintains a permanent establishment in the United States to which such interest is attributable), then the interest income generally will be subject to U.S. federal income tax at regular income tax rates in the same manner as if such Non-U.S. holder were a U.S. holder (but without regard to the additional tax on net investment income described above). Effectively connected interest income will not be subject to U.S. federal withholding tax if the Non-U.S. holder satisfies certain certification requirements by providing to the applicable withholding agent a properly executed IRS Form W-8ECI (or successor form). In addition, if a Non-U.S. holder is a corporation, the portion of such Non-U.S. holder’s earnings and profits that are effectively connected with such Non-U.S. holder’s conduct of a U.S. trade or business may also be subject to a “branch profits tax” at a 30% rate, unless an applicable income tax treaty provides for a lower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Disposition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of backup withholding and FATCA (as defined below), a Non-U.S. holder generally will not be subject to U.S. federal income tax on any gain realized on the sale, redemption, exchange, retirement, or other taxable disposition of a Note unless:</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the gain is effectively connected with the conduct by such Non-U.S. holder of a U.S. trade or business (and, if required by an applicable income tax treaty, such Non-U.S. holder maintains a permanent establishment in the United States to which such gain is attributable), in which case, the Non-U.S. holder will be required to pay U.S. federal income tax on the net gain derived from the sale or other taxable disposition generally in the same manner as if such Non-U.S. holder were a U.S. holder, and if such Non-U.S. holder is a foreign corporation, it may also be required to pay an additional branch profits tax at a 30% rate (or a lower rate if so specified by an applicable income tax treaty);</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such Non-U.S. holder is a non-resident alien individual who has been present in the United States for 183 days or more in the taxable year of disposition, certain other requirements are met, and the Non-U.S. holder is not eligible for relief under an applicable income tax treaty, in which case, the Non-U.S. holder will be subject to U.S. federal income tax at a rate of 30% (or, if applicable, a reduced rate pursuant to an applicable income tax treaty) on the gain derived from the sale or other taxable disposition, which may be offset by certain U.S. source capital losses; 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pPr>
            <w:r>
              <w:rPr/>
              <w:t xml:space="preserve">a portion of the gain is attributable to accrued but unpaid interest, in which case such amounts would be subject to tax as described above in “— </w:t>
            </w:r>
            <w:r>
              <w:rPr>
                <w:i/>
              </w:rPr>
              <w:t>Interest on the Notes</w:t>
            </w: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other exceptions may be applicable, and Non-U.S. holders should consult their own tax advisors with regard to whether taxes will be imposed on a sale or other taxable disposition of a Note in their individual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Backup Withholding and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 of interest that we pay to any documented Non-U.S. holder on the Notes will be reported to the Non-U.S. holder and to the IRS annually on an IRS Form 1042-S, regardless of whether any tax was actually withheld. Copies of these information returns may also be made available under the provisions of a specific income tax treaty or agreement to the tax authorities of the country in which the Non-U.S. holder resides. However, a Non-U.S. holder generally will not be subject to backup withholding and certain other information reporting with respect to payments that we make to the Non-U.S. holder, provided that we do not have actual knowledge or reason to know that such Non-U.S. holder is a “United States person,” within the meaning of the Code, and the Non-U.S. holder has given us the statement described above under “— </w:t>
      </w:r>
      <w:r>
        <w:rPr>
          <w:rFonts w:ascii="Times New Roman;Times;Serif" w:hAnsi="Times New Roman;Times;Serif"/>
          <w:b w:val="false"/>
          <w:i/>
          <w:caps w:val="false"/>
          <w:smallCaps w:val="false"/>
          <w:sz w:val="20"/>
        </w:rPr>
        <w:t>Interest on the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Non-U.S. holder sells or exchanges a Note through a United States broker or the United States office of a foreign broker or such sale is deemed to occur through a United States office of a foreign broker, the proceeds from such sale or exchange will be subject to information reporting and backup withholding unless the Non-U.S. holder provides a withholding certificate or other appropriate documentary evidence establishing that such holder is not a U.S. holder to the broker and such broker does not have actual knowledge or reason to know that such holder is a U.S. holder, or the Non-U.S. holder is an exempt recipient (as that term is defined in Treas. Reg. § 1.6049-4(c)(1)(ii)) eligible for an exemption from information reporting and backup withholding. If a Non-U.S. holder sells or exchanges a Note through the foreign office of a broker who is a United States person or has certain enumerated connections with the United States, the proceeds from such sale or exchange will be subject to information reporting unless the Non-U.S. holder provides to such broker a withholding certificate or other documentary evidence establishing that such holder is not a U.S. holder and such broker does not have actual knowledge or reason to know that such evidence is false, or the Non-U.S. holder is an exempt recipient (as that term is defined in Treas. Reg. § 1.6049-4(c)(1)(ii)) eligible for an exemption from information reporting. In circumstances where information reporting by the foreign office of such a broker is required, backup withholding will be required only if the broker has actual knowledge that the holder is a U.S.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be entitled to credit any amounts withheld under the backup withholding rules against the Non-U.S. holder’s U.S. federal income tax liability or may claim a refund provided that the required information is furnished to the IRS in a timely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are urged to consult their tax advisors regarding the application of information reporting and backup withholding in their particular situations, the availability of an exemption therefrom, and the procedures for obtaining such an exemption, if available.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FATCA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(including interest on a Note) and dividends. While the Code would also require withholding on payments of the gross proceeds from the sale of any property that could produce U.S. source interest or dividends, such as the Notes,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this legislation also imposes a 30% withholding on certain payments to certain foreign entities that are not FFIs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intermediary through which it holds the Notes, a beneficial owner could be subject to this 30% withholding tax with respect to interest paid on the Notes. Under certain circumstances, a beneficial owner might be eligible for a refund or credit of such taxes. We will not pay any additional amounts to holders of the Notes in respect of any amounts withheld.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and beneficial owners should consult their own tax advisors regarding FATCA and whether it may be relevant to their acquisition, ownership and disposition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tax advisor with respect to the particular tax consequences to you of an investment in the Notes, including the possible effect of any pending legislation or proposed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UNDERWRITING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is acting as representative of the underwriters named below. Subject to the terms and conditions stated in the underwriting agreement dated September 23, 2026, each underwriter named below has agreed to purchase, and we have agreed to sell to that underwriter, the aggregate principal amount of Notes set forth opposite the underwriter’s name.</w:t>
      </w:r>
    </w:p>
    <w:p>
      <w:pPr>
        <w:pStyle w:val="TextBody"/>
        <w:bidi w:val="0"/>
        <w:spacing w:before="0" w:after="0"/>
        <w:jc w:val="left"/>
        <w:rPr>
          <w:caps w:val="false"/>
          <w:smallCaps w:val="false"/>
        </w:rPr>
      </w:pPr>
      <w:r>
        <w:rPr>
          <w:caps w:val="false"/>
          <w:smallCaps w:val="false"/>
        </w:rPr>
        <w:t> </w:t>
      </w:r>
    </w:p>
    <w:tbl>
      <w:tblPr>
        <w:tblW w:w="4290" w:type="dxa"/>
        <w:jc w:val="left"/>
        <w:tblInd w:w="0" w:type="dxa"/>
        <w:tblLayout w:type="fixed"/>
        <w:tblCellMar>
          <w:top w:w="0" w:type="dxa"/>
          <w:left w:w="0" w:type="dxa"/>
          <w:bottom w:w="28" w:type="dxa"/>
          <w:right w:w="0" w:type="dxa"/>
        </w:tblCellMar>
      </w:tblPr>
      <w:tblGrid>
        <w:gridCol w:w="2765"/>
        <w:gridCol w:w="90"/>
        <w:gridCol w:w="170"/>
        <w:gridCol w:w="1130"/>
        <w:gridCol w:w="135"/>
      </w:tblGrid>
      <w:tr>
        <w:trPr/>
        <w:tc>
          <w:tcPr>
            <w:tcW w:w="2765" w:type="dxa"/>
            <w:tcBorders>
              <w:bottom w:val="single" w:sz="12" w:space="0" w:color="000000"/>
            </w:tcBorders>
            <w:vAlign w:val="center"/>
          </w:tcPr>
          <w:p>
            <w:pPr>
              <w:pStyle w:val="TableContents"/>
              <w:bidi w:val="0"/>
              <w:spacing w:before="0" w:after="283"/>
              <w:jc w:val="left"/>
              <w:rPr>
                <w:b/>
              </w:rPr>
            </w:pPr>
            <w:r>
              <w:rPr>
                <w:b/>
              </w:rPr>
              <w:t>Underwriters</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Principal</w:t>
              <w:br/>
              <w:t xml:space="preserve">Amount of </w:t>
              <w:br/>
              <w:t>Notes</w:t>
            </w:r>
          </w:p>
        </w:tc>
        <w:tc>
          <w:tcPr>
            <w:tcW w:w="13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Lucid Capital Markets,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15,361,300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765" w:type="dxa"/>
            <w:tcBorders/>
            <w:shd w:fill="FFFFFF" w:val="clear"/>
            <w:tcMar>
              <w:bottom w:w="0" w:type="dxa"/>
            </w:tcMar>
            <w:vAlign w:val="center"/>
          </w:tcPr>
          <w:p>
            <w:pPr>
              <w:pStyle w:val="TableContents"/>
              <w:bidi w:val="0"/>
              <w:spacing w:before="0" w:after="283"/>
              <w:jc w:val="left"/>
              <w:rPr/>
            </w:pPr>
            <w:r>
              <w:rPr/>
              <w:t>Oppenheimer &amp; Co. Inc.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4,719,025</w:t>
            </w:r>
          </w:p>
        </w:tc>
        <w:tc>
          <w:tcPr>
            <w:tcW w:w="135" w:type="dxa"/>
            <w:tcBorders/>
            <w:shd w:fill="FFFFFF" w:val="clear"/>
            <w:tcMar>
              <w:bottom w:w="0" w:type="dxa"/>
            </w:tcMar>
            <w:vAlign w:val="center"/>
          </w:tcPr>
          <w:p>
            <w:pPr>
              <w:pStyle w:val="TableContents"/>
              <w:bidi w:val="0"/>
              <w:spacing w:before="0" w:after="283"/>
              <w:jc w:val="left"/>
              <w:rPr/>
            </w:pPr>
            <w:r>
              <w:rPr/>
              <w:t> </w:t>
            </w:r>
          </w:p>
        </w:tc>
      </w:tr>
      <w:tr>
        <w:trPr/>
        <w:tc>
          <w:tcPr>
            <w:tcW w:w="2765"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130" w:type="dxa"/>
            <w:tcBorders>
              <w:bottom w:val="double" w:sz="10" w:space="0" w:color="000000"/>
            </w:tcBorders>
            <w:shd w:fill="CCEEFF" w:val="clear"/>
            <w:vAlign w:val="center"/>
          </w:tcPr>
          <w:p>
            <w:pPr>
              <w:pStyle w:val="TableContents"/>
              <w:bidi w:val="0"/>
              <w:spacing w:before="0" w:after="283"/>
              <w:jc w:val="right"/>
              <w:rPr/>
            </w:pPr>
            <w:r>
              <w:rPr/>
              <w:t>20,080,325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obligations of the several underwriters to purchase the Notes included in this offering are subject to approval of legal matters by counsel and to other conditions. The underwriters are obligated to purchase all the Notes (other than those covered by the overallotment option described below) if they purchase any of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propose to offer some of the Notes directly to the public at the public offering price set forth on the cover page of this prospectus and some of the Notes to dealers at the public offering price less a concession not to exceed 1.000% of the aggregate principal amount of the Notes. If all of the Notes are not sold at the offering price, the representative may change the public offering price and other selling terms. Investors must pay for any Notes purchased on or before September 24, 2026. The representative has advised us that the underwriters do not intend to confirm any sales to any accounts over which they exercise discretionary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propose to offer the Notes for sale, from time to time, in one or more negotiated transactions, at prices that may be different than par. These sales may occur at market prices prevailing at the time of sale, at prices related to such prevailing market prices or at prices negotiated by the joint book-running managers or with approval from the joint book-running managers.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hold an option, exercisable for 30 days from the date of this prospectus, to purchase up to an additional $3,012,025 aggregate principal amount of the Notes at the public offering price less the underwriting discount. The underwriters may exercise the option solely for the purpose of covering overallotments, if any, in connection with this offering. To the extent such option is exercised, each underwriter must purchase a number of additional Notes approximately proportionate to that underwriter’s initial purchase commitment.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that, for a period of 90 days from the date of this prospectus supplement, such party will not, without the prior written consent of Lucid Capital Markets, on behalf of the underwriters, offer, pledge, sell, contract to sell or otherwise dispose of or agree to sell or otherwise dispose of, directly or indirectly or hedge any debt securities issued or guaranteed by us or any securities convertible into or exercisable or exchangeable for debt securities issued or guaranteed by us or file any registration statement under the Securities Act, with respect to any of the foregoing. Lucid Capital Markets in its sole discretion may release any of the securities subject to these lock-up agreements at any time without notice. The limitation contained in this paragraph shall not apply to (i) the sale of the Notes; (ii) borrowings under the Live Oak Credit Facility and the Valley Credit Facility; (iii) the issuance of SBA-guaranteed debentures by each of the SBIC Subsidiaries; or (iv) the filing by the Company of a universal shelf registration statement covering various securities, including debt securities, including any amendments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90-day period in the preceding paragraph will be extended if (i) during the last 17 days of the 90-day period we issue an earnings release or material news or a material event relating to us occurs or (ii) prior to the expiration of the 90-day period, we announce that we will release earnings results during the 16-day period beginning on the last day of the 90-day period, in which case the restrictions described in the preceding sentence will continue to apply until the expiration of the 18-day period beginning on the issuance of the earnings release or the announcement of the material news or the occurrence of the material event.</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listed on the NYSE under the trading symbol “SAX.” While an active trading market developed after issuing the Existing Notes, we offer no assurances that an active trading market for the Notes will be maintained.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public offering price, the underwriting discounts and commissions to be paid to the underwriters and the proceeds, before expenses, to us in connection with this offering. These amounts are shown assuming both no exercise and full exercise of the underwriters’ option to purchase additional Notes.</w:t>
      </w:r>
    </w:p>
    <w:p>
      <w:pPr>
        <w:pStyle w:val="TextBody"/>
        <w:bidi w:val="0"/>
        <w:spacing w:before="0" w:after="0"/>
        <w:ind w:left="0" w:right="0" w:firstLine="360"/>
        <w:jc w:val="both"/>
        <w:rPr>
          <w:caps w:val="false"/>
          <w:smallCaps w:val="false"/>
        </w:rPr>
      </w:pPr>
      <w:r>
        <w:rPr>
          <w:caps w:val="false"/>
          <w:smallCaps w:val="false"/>
        </w:rPr>
        <w:t> </w:t>
      </w:r>
    </w:p>
    <w:tbl>
      <w:tblPr>
        <w:tblW w:w="8929" w:type="dxa"/>
        <w:jc w:val="left"/>
        <w:tblInd w:w="0" w:type="dxa"/>
        <w:tblLayout w:type="fixed"/>
        <w:tblCellMar>
          <w:top w:w="0" w:type="dxa"/>
          <w:left w:w="0" w:type="dxa"/>
          <w:bottom w:w="0" w:type="dxa"/>
          <w:right w:w="0" w:type="dxa"/>
        </w:tblCellMar>
      </w:tblPr>
      <w:tblGrid>
        <w:gridCol w:w="4040"/>
        <w:gridCol w:w="90"/>
        <w:gridCol w:w="125"/>
        <w:gridCol w:w="824"/>
        <w:gridCol w:w="245"/>
        <w:gridCol w:w="90"/>
        <w:gridCol w:w="170"/>
        <w:gridCol w:w="1430"/>
        <w:gridCol w:w="90"/>
        <w:gridCol w:w="90"/>
        <w:gridCol w:w="170"/>
        <w:gridCol w:w="1430"/>
        <w:gridCol w:w="135"/>
      </w:tblGrid>
      <w:tr>
        <w:trPr/>
        <w:tc>
          <w:tcPr>
            <w:tcW w:w="4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Note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Without</w:t>
              <w:br/>
              <w:t>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With</w:t>
              <w:br/>
              <w:t>Option</w:t>
            </w:r>
          </w:p>
        </w:tc>
        <w:tc>
          <w:tcPr>
            <w:tcW w:w="13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both"/>
              <w:rPr/>
            </w:pPr>
            <w:r>
              <w:rPr/>
              <w:t>Public offering price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99.6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20,080,325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23, 092,350 </w:t>
            </w:r>
          </w:p>
        </w:tc>
        <w:tc>
          <w:tcPr>
            <w:tcW w:w="13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Underwriting discount (sales load) paid by us</w:t>
            </w:r>
            <w:r>
              <w:rPr>
                <w:rFonts w:ascii="Times New Roman;Times;Serif" w:hAnsi="Times New Roman;Times;Serif"/>
                <w:position w:val="7"/>
                <w:sz w:val="16"/>
                <w:sz w:val="20"/>
              </w:rPr>
              <w:t>(1)</w:t>
            </w:r>
          </w:p>
        </w:tc>
        <w:tc>
          <w:tcPr>
            <w:tcW w:w="9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2.08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417,670.76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480,320.88</w:t>
            </w:r>
          </w:p>
        </w:tc>
        <w:tc>
          <w:tcPr>
            <w:tcW w:w="13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both"/>
              <w:rPr/>
            </w:pPr>
            <w:r>
              <w:rPr/>
              <w:t>Estimated proceeds to us, before expenses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97.52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19,582,332.94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22,519,659.72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298"/>
        <w:gridCol w:w="9839"/>
      </w:tblGrid>
      <w:tr>
        <w:trPr/>
        <w:tc>
          <w:tcPr>
            <w:tcW w:w="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(1)</w:t>
            </w:r>
          </w:p>
        </w:tc>
        <w:tc>
          <w:tcPr>
            <w:tcW w:w="9839" w:type="dxa"/>
            <w:tcBorders/>
            <w:vAlign w:val="center"/>
          </w:tcPr>
          <w:p>
            <w:pPr>
              <w:pStyle w:val="TableContents"/>
              <w:bidi w:val="0"/>
              <w:spacing w:before="0" w:after="283"/>
              <w:jc w:val="both"/>
              <w:rPr/>
            </w:pPr>
            <w:r>
              <w:rPr/>
              <w:t>The expenses associated with the offering, including the underwriting discount, are paid by us and are ultimately borne by our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offering price set forth above does not include the Aggregate Accrued Interest. On the initial interest payment date, November 30, 2026, we will pay this pre-issuance accrued interest to the holders of the Notes offered hereby as of the applicable record date along with the interest accrued on the Notes from the date of delivery to such interest payment date. If you sell your Notes before the initial regular record date for interest, you will not receive the Aggregate Accrued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reimburse the underwriters for the reasonable fees and disbursements of counsel in connection with the qualification of the Notes under Blue Sky and state securities laws and in connection with the review and qualification of this offering with FINRA up to a maximum of $25,000.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expenses payable by us in connection with this offering, other than the underwriting discounts and commissions referred to above, will be approximately $150,000.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investment adviser have each agreed to indemnify the underwriters against certain liabilities, including liabilities under the Securities Act, or to contribute to payments the underwriters may be required to make because of any of those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make a market in the Notes. No underwriter is, however, obligated to conduct market-making activities and any such activities may be discontinued at any time without notice, at the sole discretion of the underwriter. No assurance can be given as to the liquidity of, or the trading market for, the Notes as a result of any market-making activities undertaken by any underwriter. This prospectus supplement, and the accompanying prospectus, is to be used by any underwriter in connection with the offering and, during the period in which a prospectus must be delivered, with offers and sales of the Notes in market-making transactions in the over-the-counter market at negotiated prices related to prevailing market prices at the time of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Lucid Capital Markets, on behalf of the underwriters, may purchase and sell Notes in the open market. These transactions may include short sales, syndicate covering transactions and stabilizing transactions. Short sales involve syndicate sales of Notes in excess of the number of Notes to be purchased by the underwriters in the offering, which creates a syndicate short position. “Covered” short sales are sales of Notes made in an amount up to the number of Notes represented by the underwriters’ overallotment option. In determining the source of Notes to close out the covered syndicate short position, the underwriters will consider, among other things, the price of Notes available for purchase in the open market as compared to the price at which they may purchase Notes through the overallotment option. Transactions to close out the covered syndicate short position involve either purchases of Notes in the open market after the distribution has been completed or the exercise of the overallotment option. The underwriters also may make “naked” short sales of Notes in excess of the overallotment option. The underwriters must close out any naked short position by purchasing Notes in the open market. A naked short position is more likely to be created if the underwriters are concerned that there may be downward pressure on the price of Notes in the open market after pricing that could adversely affect investors who purchase in the offering. Stabilizing transactions consist of bids for or purchases of Notes in the open market while the offering is in progress.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also may impose a penalty bid. Penalty bids permit the underwriters to reclaim a selling concession from a syndicate member when Lucid Capital Markets repurchases Notes originally sold by that syndicate member in order to cover syndicate short positions or make stabilizing purchases.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activities may have the effect of preventing or retarding a decline in the market price of Notes. They also may cause the price of Notes to be higher than the price that would otherwise exist in the open market in the absence of these transactions. The underwriters may conduct these transactions on the NYSE, or in the over-the-counter market, or otherwise. If the underwriters commence any of these transactions, they may discontinue them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in electronic format may be made available on the websites maintained by one or more of the underwriters. The representative may agree to allocate a number of Notes to underwriters for sale to their online brokerage account holders. The representative will allocate Notes to underwriters that may make Internet distributions on the same basis as other allocations. In addition, Notes may be sold by the underwriters to securities dealers who resell Notes to online brokerage account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from time to time, certain underwriters may act as brokers or dealers in connection with the execution of Saratoga’s portfolio transactions after they have ceased to be underwriters and, subject to certain restrictions, may act as brokers while they are underwriters.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have performed investment banking and advisory services for us, our investment adviser and our affiliates from time to time, for which they have received customary fees and expenses. Certain underwriters may, from time to time, engage in transactions with or perform services for us, our investment adviser and our affiliates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 of the joint book-running managers are: Lucid Capital Markets, LLC, 570 Lexington Avenue,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10022; and Oppenheimer &amp; Co. Inc., 85 Broad Street, New York, NY 10004.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offered by this prospectus may not be offered or sold, directly or indirectly, nor may this prospectus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 relating to the offering and the distribution of this prospectus. This prospectus does not constitute an offer to sell or a solicitation of an offer to buy the Notes offered by this prospectus in any jurisdiction in which such an offer or a solicitation is unlawful.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Conflicts of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the other underwriters and their affiliates have provided, and may in the future provide, various investment banking, commercial banking, financial advisory, brokerage and other services to us and our affiliates for which services they have received, and may in the future receive, customary fees and expense reimbursement.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 including acting as underwriters for our securities offerings.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 company. The underwriters and their respective affiliates also may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regarding the securities offered by this prospectus supplement will be passed upon for us by Eversheds Sutherland (US) LLP, Washington, D.C. Certain legal matters in connection with this offering will be passed upon for the underwriters by Blank Rome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s_012"/>
      <w:bookmarkEnd w:id="13"/>
      <w:r>
        <w:rPr>
          <w:rFonts w:ascii="Times New Roman;Times;Serif" w:hAnsi="Times New Roman;Times;Serif"/>
          <w:b/>
          <w:i w:val="false"/>
          <w:caps w:val="false"/>
          <w:smallCaps w:val="false"/>
          <w:sz w:val="20"/>
        </w:rPr>
        <w:t>AVAILABLE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constitute part of a universal shelf registration statement on Form N-2 that we have filed with the SEC, together with any and all amendments and related exhibits, under the Securities Act. This prospectus supplement and the accompanying prospectus do not contain all of the information set forth in the registration statement, some of which is contained in exhibits to the registration statement and the documents incorporated by reference herein and therein as permitted by the rules and regulations of the SEC. For further information with respect to us and the Notes we are offering under this prospectus supplement and the accompanying prospectus, we refer you to the registration statement, including the exhibits filed as a part of the registration statement. Statements contained in this prospectus supplement and the accompanying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supplement, the accompanying prospectus and the documents incorporated by reference herein and therein relating to a contract or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public company, we file with or submit to the SEC annual, quarterly and current periodic reports, proxy statements and other information meeting the informational requirements of the Exchange Act. The SEC maintains an Internet site that contains reports, proxy and information statements and other information filed electronically by us with the SEC, which are available free of charge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This information is also available free of charge on our website at </w:t>
      </w:r>
      <w:r>
        <w:rPr>
          <w:rFonts w:ascii="Times New Roman;Times;Serif" w:hAnsi="Times New Roman;Times;Serif"/>
          <w:b w:val="false"/>
          <w:i/>
          <w:caps w:val="false"/>
          <w:smallCaps w:val="false"/>
          <w:sz w:val="20"/>
        </w:rPr>
        <w:t>www.saratogainvestmentcorp.com</w:t>
      </w:r>
      <w:r>
        <w:rPr>
          <w:rFonts w:ascii="Times New Roman;Times;Serif" w:hAnsi="Times New Roman;Times;Serif"/>
          <w:b w:val="false"/>
          <w:i w:val="false"/>
          <w:caps w:val="false"/>
          <w:smallCaps w:val="false"/>
          <w:sz w:val="20"/>
        </w:rPr>
        <w:t>. Except for the documents incorporated by reference into this prospectus supplement and the accompanying prospectus, information contained on our website is not incorporated into this prospectus supplement or the accompanying prospectus and you should not consider such information to be part of this prospectus supplement or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_013"/>
      <w:bookmarkEnd w:id="14"/>
      <w:r>
        <w:rPr>
          <w:rFonts w:ascii="Times New Roman;Times;Serif" w:hAnsi="Times New Roman;Times;Serif"/>
          <w:b/>
          <w:i w:val="false"/>
          <w:caps w:val="false"/>
          <w:smallCaps w:val="false"/>
          <w:sz w:val="20"/>
        </w:rPr>
        <w:t>INCORPORATION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 this prospectus supplement the documents listed below and any reports and other documents we file with the SEC pursuant to Sections 13(a), 13(c), 14, or 15(d) of the Exchange Act after the date of this prospectus supplement and prior to the termination of this offering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 xml:space="preserve">our Annual Report on </w:t>
            </w:r>
            <w:hyperlink r:id="rId4">
              <w:r>
                <w:rPr>
                  <w:rStyle w:val="InternetLink"/>
                </w:rPr>
                <w:t>Form 10-K</w:t>
              </w:r>
            </w:hyperlink>
            <w:r>
              <w:rPr/>
              <w:t xml:space="preserve"> for the fiscal year ended February 28, 2026 filed with the SEC on May 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 xml:space="preserve">our Quarterly Report on </w:t>
            </w:r>
            <w:hyperlink r:id="rId5">
              <w:r>
                <w:rPr>
                  <w:rStyle w:val="InternetLink"/>
                </w:rPr>
                <w:t>Form 10-Q</w:t>
              </w:r>
            </w:hyperlink>
            <w:r>
              <w:rPr/>
              <w:t xml:space="preserve"> for the fiscal quarter ended May 31, 2026 filed with the SEC on July 7, 2026;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 xml:space="preserve">our Current Reports on Form 8-K filed with the SEC on </w:t>
            </w:r>
            <w:hyperlink r:id="rId6">
              <w:r>
                <w:rPr>
                  <w:rStyle w:val="InternetLink"/>
                </w:rPr>
                <w:t>March 13, 2026</w:t>
              </w:r>
            </w:hyperlink>
            <w:r>
              <w:rPr/>
              <w:t xml:space="preserve">, </w:t>
            </w:r>
            <w:hyperlink r:id="rId7">
              <w:r>
                <w:rPr>
                  <w:rStyle w:val="InternetLink"/>
                </w:rPr>
                <w:t>April 14, 2026</w:t>
              </w:r>
            </w:hyperlink>
            <w:r>
              <w:rPr/>
              <w:t xml:space="preserve">, </w:t>
            </w:r>
            <w:hyperlink r:id="rId8">
              <w:r>
                <w:rPr>
                  <w:rStyle w:val="InternetLink"/>
                </w:rPr>
                <w:t>August 6, 2026</w:t>
              </w:r>
            </w:hyperlink>
            <w:r>
              <w:rPr/>
              <w:t>, </w:t>
            </w:r>
            <w:hyperlink r:id="rId9">
              <w:r>
                <w:rPr>
                  <w:rStyle w:val="InternetLink"/>
                </w:rPr>
                <w:t>August 19, 2026</w:t>
              </w:r>
            </w:hyperlink>
            <w:r>
              <w:rPr/>
              <w:t xml:space="preserve">, </w:t>
            </w:r>
            <w:hyperlink r:id="rId10">
              <w:r>
                <w:rPr>
                  <w:rStyle w:val="InternetLink"/>
                </w:rPr>
                <w:t>August 26, 2026</w:t>
              </w:r>
            </w:hyperlink>
            <w:r>
              <w:rPr/>
              <w:t xml:space="preserve">, and </w:t>
            </w:r>
            <w:hyperlink r:id="rId11">
              <w:r>
                <w:rPr>
                  <w:rStyle w:val="InternetLink"/>
                </w:rPr>
                <w:t>September 18, 2026</w:t>
              </w:r>
            </w:hyperlink>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any document incorporated or deemed to be incorporated by reference herein shall be deemed to be modified or superseded for purposes of this prospectus supplement and the accompanying prospectus to the extent that a statement contained in this prospectus supplement, in the accompanying prospectus or in any other subsequently filed document which also is or is deemed to be incorporated by reference in this prospectus supplement modifies or supersedes such earlier statement. Any statement so modified or superseded shall not be deemed, except as so modified or superseded, to constitute a part of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supplement is delivered, upon written or oral request of any such person, a copy of any or all of the information that has been incorporated by reference in this prospectus supplement but not delivered with this prospectus supplement, excluding exhibits to a document unless an exhibit has been specifically incorporated by reference in that document. To obtain copies of these filings, see “Available Information”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Stock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Preferred Stock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Subscription Rights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Debt Securities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specialty finance company that invests primarily in senior and unitranche leveraged loans and mezzanine debt issued by private U.S. middle-market companies, both through direct lending and through participation in loan syndicates, and, to a lesser extent, equity issued by private U.S. middle-market companies. Our investment objective is to create attractive risk-adjusted returns by generating current income and, to a lesser extent, capital appreciation from our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externally managed and advised by Saratoga Investment Advisors, LLC, a New York-based investment firm affiliated with Saratoga Partners, a middle-market private equity investment firm.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or series, up to $750,000,000 of our common stock, preferred stock, subscription rights to purchase shares of our common stock, debt securities, and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 approval by the majority of our common stockholders, the offering price per share of our common stock less any underwriting commissions or discounts will not be less than the net asset value (“NAV”) per share of our common stock at the time we make the offering unless we issue shares in connection with a rights offering to our existing stockholders or under such other circumstances as the Securities and Exchange Commission (the “SEC”) may permit. We do not currently have stockholder approval for issuances below NAV. In addition, we cannot issue shares of our common stock below NAV unless our board of directors determines that it would be in our and our stockholders’ best interests to do so. Sales of common stock at prices below NAV per share dilute the interests of existing stockholders, have the effect of reducing our NAV per share and may reduce our market price per share. In addition, sales of common stock below NAV may have a negative impact on total returns and could have a negative impact on the market price of our shares of common stock. See “Sales of Common Stock Below Net Asset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our most recent Quarterly Report on Form 10-Q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New York Stock Exchange (“NYSE”) under the symbol “SAR.” On January 14, 2026, the last reported sales price on the NYSE for our common stock was $23.43 per share. We are required to determine the NAV per share of our common stock on a quarterly basis. Our NAV per share of our common stock as of November 30, 2025 was $25.59.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 which is available free of charge upon written or oral request by contacting us by mail at 535 Madison Avenue, New York, New York 10022, by accessing our website at </w:t>
      </w:r>
      <w:r>
        <w:rPr>
          <w:rFonts w:ascii="Times New Roman;Times;Serif" w:hAnsi="Times New Roman;Times;Serif"/>
          <w:b w:val="false"/>
          <w:i/>
          <w:caps w:val="false"/>
          <w:smallCaps w:val="false"/>
          <w:sz w:val="20"/>
        </w:rPr>
        <w:t xml:space="preserve">www.saratogainvestmentcorp.com </w:t>
      </w:r>
      <w:r>
        <w:rPr>
          <w:rFonts w:ascii="Times New Roman;Times;Serif" w:hAnsi="Times New Roman;Times;Serif"/>
          <w:b w:val="false"/>
          <w:i w:val="false"/>
          <w:caps w:val="false"/>
          <w:smallCaps w:val="false"/>
          <w:sz w:val="20"/>
        </w:rPr>
        <w:t>or by calling us collect at (212) 906-7800. The SEC also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securities is very risky and highly speculative. Shares of closed-end investment companies, including business development companies (“BDCs”), frequently trade at a discount to their NAV. In addition, the companies in which we invest are subject to special risks. You should review carefully the risks and uncertainties, including the risk of leverage and dilution, described in the section titled “Risk Factors” included in this prospectus,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prospectus may not be used to consummate sales of securities unless accompanied by a prospectus supplement.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March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325"/>
        <w:gridCol w:w="90"/>
        <w:gridCol w:w="515"/>
      </w:tblGrid>
      <w:tr>
        <w:trPr/>
        <w:tc>
          <w:tcPr>
            <w:tcW w:w="7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Page</w:t>
            </w:r>
          </w:p>
        </w:tc>
      </w:tr>
      <w:tr>
        <w:trPr/>
        <w:tc>
          <w:tcPr>
            <w:tcW w:w="732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w:t>
            </w:r>
          </w:p>
        </w:tc>
      </w:tr>
      <w:tr>
        <w:trPr/>
        <w:tc>
          <w:tcPr>
            <w:tcW w:w="732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The Offering</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5</w:t>
            </w:r>
          </w:p>
        </w:tc>
      </w:tr>
      <w:tr>
        <w:trPr/>
        <w:tc>
          <w:tcPr>
            <w:tcW w:w="73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Fees and Expenses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732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Financial Highlights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11</w:t>
            </w:r>
          </w:p>
        </w:tc>
      </w:tr>
      <w:tr>
        <w:trPr/>
        <w:tc>
          <w:tcPr>
            <w:tcW w:w="73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12</w:t>
            </w:r>
          </w:p>
        </w:tc>
      </w:tr>
      <w:tr>
        <w:trPr/>
        <w:tc>
          <w:tcPr>
            <w:tcW w:w="732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13</w:t>
            </w:r>
          </w:p>
        </w:tc>
      </w:tr>
      <w:tr>
        <w:trPr/>
        <w:tc>
          <w:tcPr>
            <w:tcW w:w="732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Special Note Regarding Forward-Looking Statements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732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Price Range of Common Stock and Distributions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16</w:t>
            </w:r>
          </w:p>
        </w:tc>
      </w:tr>
      <w:tr>
        <w:trPr/>
        <w:tc>
          <w:tcPr>
            <w:tcW w:w="732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Dividend Reinvestment Plan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17</w:t>
            </w:r>
          </w:p>
        </w:tc>
      </w:tr>
      <w:tr>
        <w:trPr/>
        <w:tc>
          <w:tcPr>
            <w:tcW w:w="732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Management’s Discussion and Analysis of Financial Condition and Results of Operations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18</w:t>
            </w:r>
          </w:p>
        </w:tc>
      </w:tr>
      <w:tr>
        <w:trPr/>
        <w:tc>
          <w:tcPr>
            <w:tcW w:w="732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Senior Securities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19</w:t>
            </w:r>
          </w:p>
        </w:tc>
      </w:tr>
      <w:tr>
        <w:trPr/>
        <w:tc>
          <w:tcPr>
            <w:tcW w:w="732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The Company</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32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Portfolio Companies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732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Management</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34</w:t>
            </w:r>
          </w:p>
        </w:tc>
      </w:tr>
      <w:tr>
        <w:trPr/>
        <w:tc>
          <w:tcPr>
            <w:tcW w:w="732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Management and Other Agreements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35</w:t>
            </w:r>
          </w:p>
        </w:tc>
      </w:tr>
      <w:tr>
        <w:trPr/>
        <w:tc>
          <w:tcPr>
            <w:tcW w:w="732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Portfolio Management</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36</w:t>
            </w:r>
          </w:p>
        </w:tc>
      </w:tr>
      <w:tr>
        <w:trPr/>
        <w:tc>
          <w:tcPr>
            <w:tcW w:w="732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Certain Relationships and Related Transactions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37</w:t>
            </w:r>
          </w:p>
        </w:tc>
      </w:tr>
      <w:tr>
        <w:trPr/>
        <w:tc>
          <w:tcPr>
            <w:tcW w:w="732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Control Persons and Principal Stockholders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38</w:t>
            </w:r>
          </w:p>
        </w:tc>
      </w:tr>
      <w:tr>
        <w:trPr/>
        <w:tc>
          <w:tcPr>
            <w:tcW w:w="732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Regulation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39</w:t>
            </w:r>
          </w:p>
        </w:tc>
      </w:tr>
      <w:tr>
        <w:trPr/>
        <w:tc>
          <w:tcPr>
            <w:tcW w:w="732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Certain U.S. Federal Income Tax Considerations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40</w:t>
            </w:r>
          </w:p>
        </w:tc>
      </w:tr>
      <w:tr>
        <w:trPr/>
        <w:tc>
          <w:tcPr>
            <w:tcW w:w="732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Determination of Net Asset Value</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47</w:t>
            </w:r>
          </w:p>
        </w:tc>
      </w:tr>
      <w:tr>
        <w:trPr/>
        <w:tc>
          <w:tcPr>
            <w:tcW w:w="732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Sales of Common Stock Below Net Asset Value</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50</w:t>
            </w:r>
          </w:p>
        </w:tc>
      </w:tr>
      <w:tr>
        <w:trPr/>
        <w:tc>
          <w:tcPr>
            <w:tcW w:w="732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Description of Our Capital Stock</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54</w:t>
            </w:r>
          </w:p>
        </w:tc>
      </w:tr>
      <w:tr>
        <w:trPr/>
        <w:tc>
          <w:tcPr>
            <w:tcW w:w="7325"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Description of Our Subscription Rights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60</w:t>
            </w:r>
          </w:p>
        </w:tc>
      </w:tr>
      <w:tr>
        <w:trPr/>
        <w:tc>
          <w:tcPr>
            <w:tcW w:w="732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Description of Our Debt Securities</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61</w:t>
            </w:r>
          </w:p>
        </w:tc>
      </w:tr>
      <w:tr>
        <w:trPr/>
        <w:tc>
          <w:tcPr>
            <w:tcW w:w="7325"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Description of Our Warrants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74</w:t>
            </w:r>
          </w:p>
        </w:tc>
      </w:tr>
      <w:tr>
        <w:trPr/>
        <w:tc>
          <w:tcPr>
            <w:tcW w:w="732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Plan of Distribution</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76</w:t>
            </w:r>
          </w:p>
        </w:tc>
      </w:tr>
      <w:tr>
        <w:trPr/>
        <w:tc>
          <w:tcPr>
            <w:tcW w:w="7325" w:type="dxa"/>
            <w:tcBorders/>
            <w:shd w:fill="FFFF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Brokerage Allocation and Other Practices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78</w:t>
            </w:r>
          </w:p>
        </w:tc>
      </w:tr>
      <w:tr>
        <w:trPr/>
        <w:tc>
          <w:tcPr>
            <w:tcW w:w="732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Custodian, Transfer and Dividend Paying Agent and Registrar</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79</w:t>
            </w:r>
          </w:p>
        </w:tc>
      </w:tr>
      <w:tr>
        <w:trPr/>
        <w:tc>
          <w:tcPr>
            <w:tcW w:w="7325" w:type="dxa"/>
            <w:tcBorders/>
            <w:shd w:fill="FFFF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Legal Matters</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80</w:t>
            </w:r>
          </w:p>
        </w:tc>
      </w:tr>
      <w:tr>
        <w:trPr/>
        <w:tc>
          <w:tcPr>
            <w:tcW w:w="732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Independent Registered Public Accounting Firm</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81</w:t>
            </w:r>
          </w:p>
        </w:tc>
      </w:tr>
      <w:tr>
        <w:trPr/>
        <w:tc>
          <w:tcPr>
            <w:tcW w:w="7325" w:type="dxa"/>
            <w:tcBorders/>
            <w:shd w:fill="FFFF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Available Information</w:t>
              </w:r>
            </w:hyperlink>
          </w:p>
        </w:tc>
        <w:tc>
          <w:tcPr>
            <w:tcW w:w="9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ind w:left="0" w:right="0" w:hanging="200"/>
              <w:jc w:val="center"/>
              <w:rPr>
                <w:rFonts w:ascii="Times New Roman;Times;Serif" w:hAnsi="Times New Roman;Times;Serif"/>
                <w:sz w:val="20"/>
              </w:rPr>
            </w:pPr>
            <w:r>
              <w:rPr>
                <w:rFonts w:ascii="Times New Roman;Times;Serif" w:hAnsi="Times New Roman;Times;Serif"/>
                <w:sz w:val="20"/>
              </w:rPr>
              <w:t>82</w:t>
            </w:r>
          </w:p>
        </w:tc>
      </w:tr>
      <w:tr>
        <w:trPr/>
        <w:tc>
          <w:tcPr>
            <w:tcW w:w="7325"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Incorporation Of Certain Information by Reference</w:t>
              </w:r>
            </w:hyperlink>
          </w:p>
        </w:tc>
        <w:tc>
          <w:tcPr>
            <w:tcW w:w="9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2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using the “shelf” registration process. Under this shelf registration statement, we may offer, from time to time, in one or more offerings, up to $750,000,000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our most recent Annual Report on Form 10-K and in Part II, Item 1A of our most recent Quarterly Report on Form 10-Q, that could cause results to differ materially from those expressed in these publications and reports.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0" w:hanging="0"/>
        <w:jc w:val="center"/>
        <w:rPr>
          <w:rFonts w:ascii="Times New Roman;Times;Serif" w:hAnsi="Times New Roman;Times;Serif"/>
          <w:b/>
          <w:i w:val="false"/>
          <w:caps w:val="false"/>
          <w:smallCaps w:val="false"/>
          <w:sz w:val="20"/>
          <w:bdr w:val="single" w:sz="12" w:space="5" w:color="000000"/>
        </w:rPr>
      </w:pPr>
      <w:bookmarkStart w:id="15" w:name="a_001"/>
      <w:bookmarkEnd w:id="15"/>
      <w:r>
        <w:rPr>
          <w:rFonts w:ascii="Times New Roman;Times;Serif" w:hAnsi="Times New Roman;Times;Serif"/>
          <w:b/>
          <w:i w:val="false"/>
          <w:caps w:val="false"/>
          <w:smallCaps w:val="false"/>
          <w:sz w:val="20"/>
          <w:bdr w:val="single" w:sz="12" w:space="5" w:color="000000"/>
        </w:rPr>
        <w:t xml:space="preserve">PROSPECTUS SUMMARY </w:t>
      </w:r>
    </w:p>
    <w:p>
      <w:pPr>
        <w:pStyle w:val="TextBody"/>
        <w:bidi w:val="0"/>
        <w:spacing w:before="0" w:after="0"/>
        <w:ind w:left="2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This summary highlights some of the information included elsewhere in this prospectus or incorporated by reference.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our most recent Quarterly Report on Form 10-Q, in this prospectus, the applicable prospectus supplement and any related free writing prospectus, and under similar headings in any other documents that are incorporated by reference into this prospectus and the applicable prospectus supplement, and the information set forth under the caption “Available Information” in this prospectus.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Unless otherwise noted, the terms “we,” “us,” “our,” the “Company” and “Saratoga” refer to Saratoga Investment Corp. and its wholly owned subsidiaries, Saratoga Investment Funding II LLC, Saratoga Investment Funding III LLC, Saratoga Investment Corp. SBIC II LP (“SBIC II LP”), and Saratoga Investment Corp. SBIC III LP (“SBIC III LP”, and together with SBIC II LP, the “SBIC Subsidiaries”), and does not refer to Saratoga Investment Corp. CLO 2013-1 Ltd. In addition, the terms “Saratoga Investment Advisors” and “investment adviser” refer to Saratoga Investment Advisors, LLC, our external investment adviser.</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48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specialty finance company that provides customized financing solutions to U.S. middle-market businesses. We primarily invest in senior and unitranche leveraged loans and mezzanine debt and, to a lesser extent, equity issued by private U.S. middle-market companies, which we define as companies having annual earnings before interest, taxes, depreciation and amortization (“EBITDA”) of between $2 million and $50 million, both through direct lending and through participation in loan syndicates. Our investment objective is to create attractive risk-adjusted returns by generating current income and long-term capital appreciation from our investments. Our investments generally provide financing for change of ownership transactions, strategic acquisitions, recapitalizations and growth initiatives in partnership with business owners, management teams and financial sponsors. Our investment activities are externally managed and advised by Saratoga Investment Advisors, a New York-based investment firm affiliated with Saratoga Partners, a middle market private equity investment firm.</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portfolio is comprised primarily of investments in leveraged loans issued by middle market companies. Leveraged loans are generally senior debt instruments that rank ahead of subordinated debt with below investment grade or “junk” ratings or, if not rated, would be rated below investment grade or “junk” and, as a result, carry a higher risk of default. Leveraged loans also have the benefit of security interests on the assets of the portfolio company, which may rank ahead of, or be junior to, other security interests. Term loans are loans that do not allow the borrowers to repay all or a portion of the loans prior to maturity and then re-borrow such repaid amounts under the loan again. We also invest in mezzanine debt and make equity investments in middle market companies. Mezzanine debt is typically unsecured and subordinated to senior debt of the portfolio company.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While our primary focus is to generate current income and capital appreciation from our debt and equity investments in middle market companies, we may invest up to 30.0% of our portfolio in opportunistic investments in order to seek to enhance returns to stockholders. Such investments may include investments in distressed debt, including securities of companies in bankruptcy, foreign debt, private equity, securities of public companies that are not thinly traded and structured finance vehicles such as collateralized loan obligation funds.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Although we have no current intention to do so, we may invest in private equity funds in the future. Private equity funds are not limited in how they invest their assets, and the underlying investments held by private equity funds may impact our strategies, risks, and costs. Shareholders may have limited information about the underlying investments of the private equity funds in which we invest, including with respect to such funds’ holdings, liquidity, and valuation.</w:t>
      </w:r>
    </w:p>
    <w:p>
      <w:pPr>
        <w:pStyle w:val="TextBody"/>
        <w:bidi w:val="0"/>
        <w:spacing w:before="0" w:after="0"/>
        <w:ind w:left="12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externally managed, closed-end, non-diversified management investment company that has elected to be regulated as a BDC under the Investment Company Act of 1940, as amended (the “1940 Act”). As a BDC, we are required to comply with various regulatory requirements, including limitations on our use of debt. We finance our investments through borrowings. However, as a BDC, we are only generally allowed to borrow amounts such that our asset coverage, as defined in the 1940 Act, equals at least 200% after such borrowing, or, if we obtain the required approvals from our independent directors and/or stockholders, 150%. On April 16, 2018, as permitted by the Small Business Credit Availability Act, which was signed into law on March 23, 2018, our board of directors, including a majority of our directors who are not “interested persons” (as defined in Section 2(a)(19) of the 1940 Act) of the Company (“independent directors”), approved of our becoming subject to a minimum asset coverage ratio of 150% under Sections 18(a)(1) and 18(a)(2) of the 1940 Act. The 150% asset coverage ratio became effective on April 16, 2019.</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elected to be treated, and intend to qualify annually, as a regulated investment company (“RIC”), under subchapter M of the Internal Revenue Code of 1986, as amended (the “Code”). As a RIC, we generally will not be subject to U.S. federal income tax on any net ordinary income or capital gains that we timely distribute to our stockholders if we meet certain source-of-income, annual distribution and asset-diversification requirements.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our wholly owned subsidiaries, SBIC II LP and SBIC III LP, received licenses to operate as small business investment companies (“SBIC”) from the Small Business Administration (the “SBA”) on August 14, 2019 and September 29, 2022, respectively. Each of the SBIC Subsidiaries provides up to $175.0 million in long-term capital in the form of debentures guaranteed by the SBA. The SBIC Subsidiaries are regulated by the SBA. Under current SBIC regulations, for two or more SBICs under common control, the maximum amount of outstanding SBA debentures cannot exceed $350.0 million with at least $175.0 million in combined regulatory capital. The SBIC Subsidiaries are able to borrow funds from the SBA against the SBIC’s regulatory capital (which generally approximates equity capital in the respective SBIC) and is subject to customary regulatory requirements, including, but not limited to, periodic examination by the SBA.</w:t>
      </w:r>
    </w:p>
    <w:p>
      <w:pPr>
        <w:pStyle w:val="TextBody"/>
        <w:bidi w:val="0"/>
        <w:spacing w:before="0" w:after="0"/>
        <w:ind w:left="0" w:right="0" w:firstLine="48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received exemptive relief from the SEC to permit us to exclude the senior securities issued by the SBIC Subsidiaries from the definition of senior securities in the asset coverage requirement under the 1940 Act. This allows the Company increased flexibility under the asset coverage requirement by permitting it to borrow up to $350.0 million more than it would otherwise be able to absent the receipt of this exemptive relief.</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has established wholly owned subsidiaries, SIA-AAP, Inc., SIA-SAIS, Inc., SIA-ARC, Inc., SIA-Avionte, Inc., SIA-AX, Inc., SIA-G4, Inc., SIA-GH, Inc., SIA-MDP, Inc., SIA-PP Inc., SIA-SIQ, Inc., SIA-SZ, Inc., SIA-TG, Inc., SIA-TT, Inc. and SIA-Vector, Inc., which are structured as Delaware entities that are treated as corporations for U.S. federal income tax purposes and are intended to facilitate our compliance with the requirements to be treated as a RIC under the Code by holding equity or equity-like investments in portfolio companies organized as limited liability companies, or LLCs (or other forms of pass through entities). These entities are consolidated for accounting purposes but are not consolidated for U.S. federal income tax purposes and may incur U.S. federal income tax expense as a result of their ownership of portfolio companies.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26, 2021, the Company and TJHA JV I LLC entered into a Limited Liability Company Operating Agreement to co-manage Saratoga Senior Loan Fund I JV LLC (“SLF JV”). SLF JV is a joint venture that invests in the debt or equity interests of collateralized loan obligations, loans, notes and other debt instruments.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Saratoga Investment Advisors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General</w:t>
      </w:r>
    </w:p>
    <w:p>
      <w:pPr>
        <w:pStyle w:val="TextBody"/>
        <w:bidi w:val="0"/>
        <w:spacing w:before="0" w:after="0"/>
        <w:ind w:left="0" w:right="0" w:firstLine="48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Saratoga Investment Advisors was formed in 2010 as a Delaware limited liability company and became our investment adviser in July 2010. Saratoga Investment Advisors is led by four principals, Christian L. Oberbeck, Michael J. Grisius, Thomas V. Inglesby, and Charles G. Phillips, with over 38, 33, 39, and 28 years of experience in leveraged finance, respectively, and the Chief Financial Officer, Chief Compliance Officer, Treasurer and Secretary, Henri J. Steenkamp, who has 26 years of experience in financial services and leveraged finance. Our Investment Adviser is affiliated with Saratoga Partners, a middle-market private equity investment firm. Saratoga Partners was established in 1984 to be the middle-market private investment arm of Dillon Read &amp; Co. Inc. and has been independent of Dillon Read &amp; Co. Inc., and its successor entity, SBC Warburg Dillon Read, since 1998. Saratoga Partners has a 36-year history of private investments in middle-market companies and focuses on public and private equity, preferred stock, and senior and mezzanine debt investments.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Our Relationship with Saratoga Investment Advisors</w:t>
      </w:r>
    </w:p>
    <w:p>
      <w:pPr>
        <w:pStyle w:val="TextBody"/>
        <w:bidi w:val="0"/>
        <w:spacing w:before="0" w:after="0"/>
        <w:ind w:left="0" w:right="0" w:firstLine="48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utilize the personnel, infrastructure, relationships and experience of Saratoga Investment Advisors to enhance the growth of our business. We currently have no employees and each of our executive officers is also an officer of Saratoga Investment Advisors.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entered into an investment advisory and management agreement (the “Management Agreement”) with Saratoga Investment Advisors. Pursuant to the 1940 Act, the initial term of the Management Agreement was for two years from its effective date of July 30, 2010, and will remain in effect on a year-to-year basis if approved annually at an in-person meeting of the board of directors, a majority of whom must not be independent directors. Most recently, our board of directors approved the renewal of the Management Agreement for an additional one-year term at an in-person meeting held on July 7, 2025. Pursuant to the Management Agreement, Saratoga Investment Advisors implements our business strategy on a day-to-day basis and performs certain services for us under the direction of our board of directors. Saratoga Investment Advisors is responsible for, among other duties, performing all of our day-to-day functions, determining investment criteria, sourcing, analyzing and executing investment transactions, asset sales, financings and performing asset management duties.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Saratoga Investment Advisors has formed an investment committee to advise and consult with its senior management team with respect to our investment policies, investment portfolio holdings, financing and leveraging strategies and investment guidelines. We believe that the collective experience of the investment committee members across a variety of fixed income asset classes will benefit us. The investment committee must unanimously approve all investments in excess of $1.0 million made by us. In addition, all sales of our investments must be approved by all four of our investment committee members. The current members of the investment committee are Messrs. Oberbeck, Grisius, Inglesby, and Phillips.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12" w:space="5" w:color="000000"/>
        </w:rPr>
        <w:t xml:space="preserve">See “Business” in Part I, Item 1 in our most recent Annual Report on </w:t>
      </w:r>
      <w:hyperlink r:id="rId12">
        <w:r>
          <w:rPr>
            <w:rStyle w:val="InternetLink"/>
            <w:rFonts w:ascii="Times New Roman;Times;Serif" w:hAnsi="Times New Roman;Times;Serif"/>
            <w:b w:val="false"/>
            <w:i w:val="false"/>
            <w:caps w:val="false"/>
            <w:smallCaps w:val="false"/>
            <w:sz w:val="20"/>
            <w:bdr w:val="single" w:sz="12" w:space="5" w:color="000000"/>
          </w:rPr>
          <w:t>Form 10-K</w:t>
        </w:r>
      </w:hyperlink>
      <w:r>
        <w:rPr>
          <w:rFonts w:ascii="Times New Roman;Times;Serif" w:hAnsi="Times New Roman;Times;Serif"/>
          <w:b w:val="false"/>
          <w:i w:val="false"/>
          <w:caps w:val="false"/>
          <w:smallCaps w:val="false"/>
          <w:sz w:val="20"/>
          <w:bdr w:val="single" w:sz="12" w:space="5" w:color="000000"/>
        </w:rPr>
        <w:t xml:space="preserve"> for additional information about us.</w:t>
      </w:r>
    </w:p>
    <w:p>
      <w:pPr>
        <w:pStyle w:val="TextBody"/>
        <w:bidi w:val="0"/>
        <w:spacing w:before="0" w:after="0"/>
        <w:ind w:left="2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Risk Associated with Our Business </w:t>
      </w:r>
    </w:p>
    <w:p>
      <w:pPr>
        <w:pStyle w:val="TextBody"/>
        <w:bidi w:val="0"/>
        <w:spacing w:before="0" w:after="0"/>
        <w:ind w:left="2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our most recent Quarterly Report on Form 10-Q, as well as in any of our subsequent SEC filings.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Legal Proceedings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Neither we nor our wholly owned subsidiaries or Saratoga Investment Advisors are currently subject to any material legal proceedings other than ordinary routine litigation incidental to the business. From time to time, we, our consolidated subsidiaries and/or Saratoga Investment Advisors may be a party to certain legal proceedings in the ordinary course of business, including proceedings relating to the enforcement of our rights under contracts with our portfolio companies. Our business also is subject to extensive regulation, which may result in regulatory proceedings against us.</w:t>
      </w:r>
    </w:p>
    <w:p>
      <w:pPr>
        <w:pStyle w:val="TextBody"/>
        <w:bidi w:val="0"/>
        <w:spacing w:before="0" w:after="0"/>
        <w:ind w:left="2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0" w:hanging="0"/>
        <w:jc w:val="center"/>
        <w:rPr>
          <w:rFonts w:ascii="Times New Roman;Times;Serif" w:hAnsi="Times New Roman;Times;Serif"/>
          <w:b/>
          <w:i w:val="false"/>
          <w:caps w:val="false"/>
          <w:smallCaps w:val="false"/>
          <w:sz w:val="20"/>
          <w:bdr w:val="single" w:sz="12" w:space="5" w:color="000000"/>
        </w:rPr>
      </w:pPr>
      <w:bookmarkStart w:id="16" w:name="a_002"/>
      <w:bookmarkEnd w:id="16"/>
      <w:r>
        <w:rPr>
          <w:rFonts w:ascii="Times New Roman;Times;Serif" w:hAnsi="Times New Roman;Times;Serif"/>
          <w:b/>
          <w:i w:val="false"/>
          <w:caps w:val="false"/>
          <w:smallCaps w:val="false"/>
          <w:sz w:val="20"/>
          <w:bdr w:val="single" w:sz="12" w:space="5" w:color="000000"/>
        </w:rPr>
        <w:t xml:space="preserve">THE OFFERING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offer, from time to time, up to $750,000,000 of our securities, on terms to be determined at the time of the offering. Our securities may be offered at prices and on terms to be disclosed in one or more prospectus supplements.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securities may be offered directly to one or more purchasers by us or through agents designated from time to time by us, or to or through underwriters or dealers. The prospectus supplement relating to the offering will disclose the terms of the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We may not sell any of our securities directly or through agents, underwriters or dealers without delivery of a prospectus supplement describing the method and terms of the offering of our securities.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Set forth below is additional information regarding the offering of our securities: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792"/>
        <w:gridCol w:w="8413"/>
      </w:tblGrid>
      <w:tr>
        <w:trPr/>
        <w:tc>
          <w:tcPr>
            <w:tcW w:w="1792" w:type="dxa"/>
            <w:tcBorders/>
            <w:vAlign w:val="center"/>
          </w:tcPr>
          <w:p>
            <w:pPr>
              <w:pStyle w:val="TableContents"/>
              <w:bidi w:val="0"/>
              <w:spacing w:before="0" w:after="283"/>
              <w:jc w:val="left"/>
              <w:rPr/>
            </w:pPr>
            <w:r>
              <w:rPr/>
              <w:t>The New York Stock Exchange ticker symbol of common stock</w:t>
            </w:r>
          </w:p>
        </w:tc>
        <w:tc>
          <w:tcPr>
            <w:tcW w:w="8413" w:type="dxa"/>
            <w:tcBorders/>
            <w:vAlign w:val="center"/>
          </w:tcPr>
          <w:p>
            <w:pPr>
              <w:pStyle w:val="TableContents"/>
              <w:bidi w:val="0"/>
              <w:spacing w:before="0" w:after="283"/>
              <w:jc w:val="both"/>
              <w:rPr/>
            </w:pPr>
            <w:r>
              <w:rPr/>
              <w:t>“</w:t>
            </w:r>
            <w:r>
              <w:rPr/>
              <w:t>SAR”</w:t>
            </w:r>
          </w:p>
        </w:tc>
      </w:tr>
      <w:tr>
        <w:trPr/>
        <w:tc>
          <w:tcPr>
            <w:tcW w:w="1792" w:type="dxa"/>
            <w:tcBorders/>
            <w:vAlign w:val="center"/>
          </w:tcPr>
          <w:p>
            <w:pPr>
              <w:pStyle w:val="TableContents"/>
              <w:bidi w:val="0"/>
              <w:spacing w:before="0" w:after="283"/>
              <w:jc w:val="both"/>
              <w:rPr/>
            </w:pPr>
            <w:r>
              <w:rPr/>
              <w:t> </w:t>
            </w:r>
          </w:p>
        </w:tc>
        <w:tc>
          <w:tcPr>
            <w:tcW w:w="8413" w:type="dxa"/>
            <w:tcBorders/>
            <w:vAlign w:val="center"/>
          </w:tcPr>
          <w:p>
            <w:pPr>
              <w:pStyle w:val="TableContents"/>
              <w:bidi w:val="0"/>
              <w:spacing w:before="0" w:after="283"/>
              <w:jc w:val="both"/>
              <w:rPr/>
            </w:pPr>
            <w:r>
              <w:rPr/>
              <w:t> </w:t>
            </w:r>
          </w:p>
        </w:tc>
      </w:tr>
      <w:tr>
        <w:trPr/>
        <w:tc>
          <w:tcPr>
            <w:tcW w:w="1792" w:type="dxa"/>
            <w:tcBorders/>
            <w:vAlign w:val="center"/>
          </w:tcPr>
          <w:p>
            <w:pPr>
              <w:pStyle w:val="TableContents"/>
              <w:bidi w:val="0"/>
              <w:spacing w:before="0" w:after="283"/>
              <w:jc w:val="both"/>
              <w:rPr/>
            </w:pPr>
            <w:r>
              <w:rPr/>
              <w:t>Use of Proceeds</w:t>
            </w:r>
          </w:p>
        </w:tc>
        <w:tc>
          <w:tcPr>
            <w:tcW w:w="8413" w:type="dxa"/>
            <w:tcBorders/>
            <w:vAlign w:val="center"/>
          </w:tcPr>
          <w:p>
            <w:pPr>
              <w:pStyle w:val="TableContents"/>
              <w:bidi w:val="0"/>
              <w:spacing w:before="0" w:after="283"/>
              <w:jc w:val="both"/>
              <w:rPr/>
            </w:pPr>
            <w:r>
              <w:rPr/>
              <w:t>Unless otherwise specified in a prospectus supplement, we intend to use substantially all of the net proceeds from the sale of our securities to make investments in middle-market companies in accordance with our investment objective and strategies described in this prospectus, and for general corporate purposes. We may also use a portion of the net proceeds to reduce any of our outstanding borrowings (which will be subject to re-borrowing). Pending such use, we will invest the net proceeds primarily in high quality, short-term debt securities consistent with our BDC election and our election to be treated as a RIC. See “Use of Proceeds.”</w:t>
            </w:r>
          </w:p>
        </w:tc>
      </w:tr>
      <w:tr>
        <w:trPr/>
        <w:tc>
          <w:tcPr>
            <w:tcW w:w="1792" w:type="dxa"/>
            <w:tcBorders/>
            <w:vAlign w:val="center"/>
          </w:tcPr>
          <w:p>
            <w:pPr>
              <w:pStyle w:val="TableContents"/>
              <w:bidi w:val="0"/>
              <w:spacing w:before="0" w:after="283"/>
              <w:jc w:val="both"/>
              <w:rPr/>
            </w:pPr>
            <w:r>
              <w:rPr/>
              <w:t> </w:t>
            </w:r>
          </w:p>
        </w:tc>
        <w:tc>
          <w:tcPr>
            <w:tcW w:w="8413" w:type="dxa"/>
            <w:tcBorders/>
            <w:vAlign w:val="center"/>
          </w:tcPr>
          <w:p>
            <w:pPr>
              <w:pStyle w:val="TableContents"/>
              <w:bidi w:val="0"/>
              <w:spacing w:before="0" w:after="283"/>
              <w:jc w:val="both"/>
              <w:rPr/>
            </w:pPr>
            <w:r>
              <w:rPr/>
              <w:t> </w:t>
            </w:r>
          </w:p>
        </w:tc>
      </w:tr>
      <w:tr>
        <w:trPr/>
        <w:tc>
          <w:tcPr>
            <w:tcW w:w="1792" w:type="dxa"/>
            <w:tcBorders/>
            <w:vAlign w:val="center"/>
          </w:tcPr>
          <w:p>
            <w:pPr>
              <w:pStyle w:val="TableContents"/>
              <w:bidi w:val="0"/>
              <w:spacing w:before="0" w:after="283"/>
              <w:jc w:val="both"/>
              <w:rPr/>
            </w:pPr>
            <w:r>
              <w:rPr/>
              <w:t>Dividends and Distributions</w:t>
            </w:r>
          </w:p>
        </w:tc>
        <w:tc>
          <w:tcPr>
            <w:tcW w:w="84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quarterly distributions to our stockholders out of assets legally available for distribution. Our distributions, if any, will be determined by our board of directors. Our ability to declare distributions depends on our earnings, our overall financial condition (including our liquidity position), qualification for or maintenance of our RIC tax treatment and such other factors as our board of directors may deem relevant from time to time.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make distributions, we will be required to determine the extent to which such distributions are paid out of current or accumulated earnings, recognized capital gains or capital. To the extent there is a return of capital, investors will be required to reduce their adjusted tax basis in our stock for U.S. federal income tax purposes. In the future, our distributions may include a return of capital. See “Price Range of Common Stock and Distributions.”</w:t>
            </w:r>
          </w:p>
        </w:tc>
      </w:tr>
      <w:tr>
        <w:trPr/>
        <w:tc>
          <w:tcPr>
            <w:tcW w:w="1792" w:type="dxa"/>
            <w:tcBorders/>
            <w:vAlign w:val="center"/>
          </w:tcPr>
          <w:p>
            <w:pPr>
              <w:pStyle w:val="TableContents"/>
              <w:bidi w:val="0"/>
              <w:spacing w:before="0" w:after="283"/>
              <w:jc w:val="both"/>
              <w:rPr/>
            </w:pPr>
            <w:r>
              <w:rPr/>
              <w:t> </w:t>
            </w:r>
          </w:p>
        </w:tc>
        <w:tc>
          <w:tcPr>
            <w:tcW w:w="8413" w:type="dxa"/>
            <w:tcBorders/>
            <w:vAlign w:val="center"/>
          </w:tcPr>
          <w:p>
            <w:pPr>
              <w:pStyle w:val="TableContents"/>
              <w:bidi w:val="0"/>
              <w:spacing w:before="0" w:after="283"/>
              <w:jc w:val="left"/>
              <w:rPr/>
            </w:pPr>
            <w:r>
              <w:rPr/>
              <w:t> </w:t>
            </w:r>
          </w:p>
        </w:tc>
      </w:tr>
      <w:tr>
        <w:trPr/>
        <w:tc>
          <w:tcPr>
            <w:tcW w:w="1792" w:type="dxa"/>
            <w:tcBorders/>
            <w:vAlign w:val="center"/>
          </w:tcPr>
          <w:p>
            <w:pPr>
              <w:pStyle w:val="TableContents"/>
              <w:bidi w:val="0"/>
              <w:spacing w:before="0" w:after="283"/>
              <w:jc w:val="both"/>
              <w:rPr/>
            </w:pPr>
            <w:r>
              <w:rPr/>
              <w:t>Dividend Reinvestment Plan</w:t>
            </w:r>
          </w:p>
        </w:tc>
        <w:tc>
          <w:tcPr>
            <w:tcW w:w="8413" w:type="dxa"/>
            <w:tcBorders/>
            <w:vAlign w:val="center"/>
          </w:tcPr>
          <w:p>
            <w:pPr>
              <w:pStyle w:val="TableContents"/>
              <w:bidi w:val="0"/>
              <w:spacing w:before="0" w:after="283"/>
              <w:jc w:val="both"/>
              <w:rPr/>
            </w:pPr>
            <w:r>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Stockholders who receive distributions in the form of our common stock will be subject to the same U.S. federal, state and local tax consequences as stockholders who elect to receive their distributions in cash, and will need to pay any such taxes from other sources in light of the fact that their distributions will be reinvested in additional shares of the Company’s common stock. See “Dividend Reinvestment Plan” for a description of the plan and information on how to “opt out” of the plan.</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145"/>
        <w:gridCol w:w="9060"/>
      </w:tblGrid>
      <w:tr>
        <w:trPr/>
        <w:tc>
          <w:tcPr>
            <w:tcW w:w="1145" w:type="dxa"/>
            <w:tcBorders/>
            <w:vAlign w:val="center"/>
          </w:tcPr>
          <w:p>
            <w:pPr>
              <w:pStyle w:val="TableContents"/>
              <w:bidi w:val="0"/>
              <w:spacing w:before="0" w:after="283"/>
              <w:jc w:val="both"/>
              <w:rPr/>
            </w:pPr>
            <w:r>
              <w:rPr/>
              <w:t>Taxation</w:t>
            </w:r>
          </w:p>
        </w:tc>
        <w:tc>
          <w:tcPr>
            <w:tcW w:w="9060" w:type="dxa"/>
            <w:tcBorders/>
            <w:vAlign w:val="center"/>
          </w:tcPr>
          <w:p>
            <w:pPr>
              <w:pStyle w:val="TableContents"/>
              <w:bidi w:val="0"/>
              <w:spacing w:before="0" w:after="283"/>
              <w:jc w:val="both"/>
              <w:rPr/>
            </w:pPr>
            <w:r>
              <w:rPr/>
              <w:t>We have elected to be treated, and intend to qualify annually, as a RIC under subchapter M of the Code. Accordingly, we generally will not be subject to U.S. federal income tax on any net ordinary income or realized net capital gains that we timely distribute to our stockholders as dividends. We will be subject to U.S. federal income tax imposed at corporate rates on any net ordinary income or realized net capital gains that we do not distribute to stockholders. To maintain our RIC tax treatment, we must, among other things, meet specified source-of-income and asset diversification requirements and distribute annually to our stockholders at least 90% of our net ordinary income and realized net short-term capital gains in excess of realized net long-term capital losses, if any. Depending on the level of taxable income earned in a tax year, we may choose to carry forward taxable income in excess of current year distributions into the next tax year and pay U.S. federal income tax, and possibly a non-deductible 4% U.S. federal excise tax on such income. See “Certain U.S. Federal Income Tax Considerations.”</w:t>
            </w:r>
          </w:p>
        </w:tc>
      </w:tr>
      <w:tr>
        <w:trPr/>
        <w:tc>
          <w:tcPr>
            <w:tcW w:w="1145" w:type="dxa"/>
            <w:tcBorders/>
            <w:vAlign w:val="center"/>
          </w:tcPr>
          <w:p>
            <w:pPr>
              <w:pStyle w:val="TableContents"/>
              <w:bidi w:val="0"/>
              <w:spacing w:before="0" w:after="283"/>
              <w:jc w:val="both"/>
              <w:rPr/>
            </w:pPr>
            <w:r>
              <w:rPr/>
              <w:t> </w:t>
            </w:r>
          </w:p>
        </w:tc>
        <w:tc>
          <w:tcPr>
            <w:tcW w:w="906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both"/>
              <w:rPr/>
            </w:pPr>
            <w:r>
              <w:rPr/>
              <w:t xml:space="preserve">Effective Trading at a Discount </w:t>
            </w:r>
          </w:p>
        </w:tc>
        <w:tc>
          <w:tcPr>
            <w:tcW w:w="9060" w:type="dxa"/>
            <w:tcBorders/>
            <w:vAlign w:val="center"/>
          </w:tcPr>
          <w:p>
            <w:pPr>
              <w:pStyle w:val="TableContents"/>
              <w:bidi w:val="0"/>
              <w:spacing w:before="0" w:after="283"/>
              <w:jc w:val="both"/>
              <w:rPr/>
            </w:pPr>
            <w:r>
              <w:rPr/>
              <w:t>Shares of closed-end investment companies, including BDCs, frequently trade at a discount to their NAV. The risk that our shares may trade at a discount to our NAV is separate and distinct from the risk that our NAV per share may decline. We cannot predict whether our shares will trade above, at or below NAV. See “Risk Factors.”</w:t>
            </w:r>
          </w:p>
        </w:tc>
      </w:tr>
      <w:tr>
        <w:trPr/>
        <w:tc>
          <w:tcPr>
            <w:tcW w:w="1145" w:type="dxa"/>
            <w:tcBorders/>
            <w:vAlign w:val="center"/>
          </w:tcPr>
          <w:p>
            <w:pPr>
              <w:pStyle w:val="TableContents"/>
              <w:bidi w:val="0"/>
              <w:spacing w:before="0" w:after="283"/>
              <w:jc w:val="both"/>
              <w:rPr/>
            </w:pPr>
            <w:r>
              <w:rPr/>
              <w:t> </w:t>
            </w:r>
          </w:p>
        </w:tc>
        <w:tc>
          <w:tcPr>
            <w:tcW w:w="9060" w:type="dxa"/>
            <w:tcBorders/>
            <w:vAlign w:val="center"/>
          </w:tcPr>
          <w:p>
            <w:pPr>
              <w:pStyle w:val="TableContents"/>
              <w:bidi w:val="0"/>
              <w:spacing w:before="0" w:after="283"/>
              <w:jc w:val="both"/>
              <w:rPr/>
            </w:pPr>
            <w:r>
              <w:rPr/>
              <w:t> </w:t>
            </w:r>
          </w:p>
        </w:tc>
      </w:tr>
      <w:tr>
        <w:trPr/>
        <w:tc>
          <w:tcPr>
            <w:tcW w:w="1145" w:type="dxa"/>
            <w:tcBorders/>
            <w:vAlign w:val="center"/>
          </w:tcPr>
          <w:p>
            <w:pPr>
              <w:pStyle w:val="TableContents"/>
              <w:bidi w:val="0"/>
              <w:spacing w:before="0" w:after="283"/>
              <w:jc w:val="both"/>
              <w:rPr/>
            </w:pPr>
            <w:r>
              <w:rPr/>
              <w:t xml:space="preserve">Sales of Common Stock Below NAV </w:t>
            </w:r>
          </w:p>
        </w:tc>
        <w:tc>
          <w:tcPr>
            <w:tcW w:w="90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less any underwriting commissions or discounts, will not be less than the NAV per share of our common stock at the time of the offering, except (i) with the requisite approval of our common stockholders or (ii) under such other circumstances as the SEC may permit. In addition, we cannot issue shares of our common stock below NAV unless our board of directors determines that it would be in our stockholders’ best interests to do so. We did not seek stockholder authorization to issue common stock at a price below NAV per share at our 2025 annual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us of our common stock at a discount from our NAV pose potential risks for our existing stockholders whether or not they participate in the offering, as well as for new investors who participate in the offering. See “Sales of Common Stock Below Net Asset Value.”</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616"/>
        <w:gridCol w:w="8589"/>
      </w:tblGrid>
      <w:tr>
        <w:trPr/>
        <w:tc>
          <w:tcPr>
            <w:tcW w:w="1616" w:type="dxa"/>
            <w:tcBorders/>
            <w:vAlign w:val="center"/>
          </w:tcPr>
          <w:p>
            <w:pPr>
              <w:pStyle w:val="TableContents"/>
              <w:bidi w:val="0"/>
              <w:spacing w:before="0" w:after="283"/>
              <w:jc w:val="both"/>
              <w:rPr/>
            </w:pPr>
            <w:r>
              <w:rPr/>
              <w:t xml:space="preserve">Leverage </w:t>
            </w:r>
          </w:p>
        </w:tc>
        <w:tc>
          <w:tcPr>
            <w:tcW w:w="85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borrow funds to make additional investments. We use this practice, which is known as “leverage,” to attempt to increase returns to our stockholders, but it involves significant risks. See “Risk Factors,” “Senior Securities,” and “Regulation” below. We are currently allowed to borrow amounts such that our asset coverage, as calculated pursuant to the 1940 Act, equals at least 150% after such borrowing (i.e., we are able to borrow up to two dollars for every dollar we have in assets less all liabilities and indebtedness not represented by senior securities issued by us). See “Management’s Discussion and Analysis of Financial Condition and Results of Operations” in Part II, Item 7 of our most recent Annual Report on Form 10-K and Part I, Item 2 of our most recent Quarterly Report on Form 10-Q.</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leverage that we employ at any particular time will depend on the assessment of market and other factors at the time of any proposed borrowing by the investment adviser’s investment committee and our board of directors. In addition,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see “Risk Factors” in Part I, Item 1A of our most recent Annual Report on Form 10-K and “Business” in Part I, Item 1 in our most recent Annual Report on Form 10-K.</w:t>
            </w:r>
          </w:p>
        </w:tc>
      </w:tr>
      <w:tr>
        <w:trPr/>
        <w:tc>
          <w:tcPr>
            <w:tcW w:w="1616" w:type="dxa"/>
            <w:tcBorders/>
            <w:vAlign w:val="center"/>
          </w:tcPr>
          <w:p>
            <w:pPr>
              <w:pStyle w:val="TableContents"/>
              <w:bidi w:val="0"/>
              <w:spacing w:before="0" w:after="283"/>
              <w:jc w:val="both"/>
              <w:rPr/>
            </w:pPr>
            <w:r>
              <w:rPr/>
              <w:t> </w:t>
            </w:r>
          </w:p>
        </w:tc>
        <w:tc>
          <w:tcPr>
            <w:tcW w:w="8589" w:type="dxa"/>
            <w:tcBorders/>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before="0" w:after="283"/>
              <w:jc w:val="both"/>
              <w:rPr/>
            </w:pPr>
            <w:r>
              <w:rPr/>
              <w:t>Available Information</w:t>
            </w:r>
          </w:p>
        </w:tc>
        <w:tc>
          <w:tcPr>
            <w:tcW w:w="85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N-2, of which this prospectus is a part, under the Securities Act. This registration statement contains additional information about us and the securities being offered by this prospectus. We are also required to file annual, quarterly and current reports, proxy statements and other information with the SEC. This information is available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a website at </w:t>
            </w:r>
            <w:r>
              <w:rPr>
                <w:rFonts w:ascii="Times New Roman;Times;Serif" w:hAnsi="Times New Roman;Times;Serif"/>
                <w:b w:val="false"/>
                <w:i/>
                <w:caps w:val="false"/>
                <w:smallCaps w:val="false"/>
                <w:sz w:val="20"/>
              </w:rPr>
              <w:t xml:space="preserve">www.saratogainvestmentcorp.com </w:t>
            </w:r>
            <w:r>
              <w:rPr>
                <w:rFonts w:ascii="Times New Roman;Times;Serif" w:hAnsi="Times New Roman;Times;Serif"/>
                <w:b w:val="false"/>
                <w:i w:val="false"/>
                <w:caps w:val="false"/>
                <w:smallCaps w:val="false"/>
                <w:sz w:val="20"/>
              </w:rPr>
              <w:t>and make all of our annual, quarterly and current reports, proxy statements and other information available, free of charge, on or through our website. Information contained on our website is not incorporated by reference into this prospectus or any supplements to this prospectus, and you should not consider that information to be part of this prospectus or any supplements to this prospectus. You may also obtain such information free of charge by contacting us by mail at 535 Madison Avenue, New York, New York 10022 or by telephone at (212) 906-7800.</w:t>
            </w:r>
          </w:p>
        </w:tc>
      </w:tr>
      <w:tr>
        <w:trPr/>
        <w:tc>
          <w:tcPr>
            <w:tcW w:w="1616" w:type="dxa"/>
            <w:tcBorders/>
            <w:vAlign w:val="center"/>
          </w:tcPr>
          <w:p>
            <w:pPr>
              <w:pStyle w:val="TableContents"/>
              <w:bidi w:val="0"/>
              <w:spacing w:before="0" w:after="283"/>
              <w:jc w:val="left"/>
              <w:rPr/>
            </w:pPr>
            <w:r>
              <w:rPr/>
              <w:t> </w:t>
            </w:r>
          </w:p>
        </w:tc>
        <w:tc>
          <w:tcPr>
            <w:tcW w:w="8589" w:type="dxa"/>
            <w:tcBorders/>
            <w:vAlign w:val="center"/>
          </w:tcPr>
          <w:p>
            <w:pPr>
              <w:pStyle w:val="TableContents"/>
              <w:bidi w:val="0"/>
              <w:spacing w:before="0" w:after="283"/>
              <w:jc w:val="left"/>
              <w:rPr/>
            </w:pPr>
            <w:r>
              <w:rPr/>
              <w:t> </w:t>
            </w:r>
          </w:p>
        </w:tc>
      </w:tr>
      <w:tr>
        <w:trPr/>
        <w:tc>
          <w:tcPr>
            <w:tcW w:w="1616" w:type="dxa"/>
            <w:tcBorders/>
            <w:vAlign w:val="center"/>
          </w:tcPr>
          <w:p>
            <w:pPr>
              <w:pStyle w:val="TableContents"/>
              <w:bidi w:val="0"/>
              <w:spacing w:before="0" w:after="283"/>
              <w:jc w:val="left"/>
              <w:rPr/>
            </w:pPr>
            <w:r>
              <w:rPr/>
              <w:t xml:space="preserve">Incorporation of Certain Information by Reference </w:t>
            </w:r>
          </w:p>
        </w:tc>
        <w:tc>
          <w:tcPr>
            <w:tcW w:w="8589" w:type="dxa"/>
            <w:tcBorders/>
            <w:vAlign w:val="center"/>
          </w:tcPr>
          <w:p>
            <w:pPr>
              <w:pStyle w:val="TableContents"/>
              <w:bidi w:val="0"/>
              <w:spacing w:before="0" w:after="283"/>
              <w:jc w:val="both"/>
              <w:rPr/>
            </w:pPr>
            <w:r>
              <w:rPr/>
              <w:t>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Any reports filed by us with the SEC subsequent to the date of this prospectus until we have sold all of the securities offered by this prospectus or the offering is otherwise terminated will automatically update and, where applicable, supersede any information contained in this prospectus or incorporated by reference in this prospectus. See “Incorporation of Certain Information by Reference” in this prospectus.</w:t>
            </w:r>
          </w:p>
        </w:tc>
      </w:tr>
    </w:tbl>
    <w:p>
      <w:pPr>
        <w:pStyle w:val="TextBody"/>
        <w:bidi w:val="0"/>
        <w:spacing w:before="0" w:after="0"/>
        <w:ind w:left="2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20" w:right="0" w:hanging="0"/>
        <w:jc w:val="center"/>
        <w:rPr>
          <w:rFonts w:ascii="Times New Roman;Times;Serif" w:hAnsi="Times New Roman;Times;Serif"/>
          <w:b/>
          <w:i w:val="false"/>
          <w:caps w:val="false"/>
          <w:smallCaps w:val="false"/>
          <w:sz w:val="20"/>
          <w:bdr w:val="single" w:sz="12" w:space="5" w:color="000000"/>
        </w:rPr>
      </w:pPr>
      <w:bookmarkStart w:id="17" w:name="a_003"/>
      <w:bookmarkEnd w:id="17"/>
      <w:r>
        <w:rPr>
          <w:rFonts w:ascii="Times New Roman;Times;Serif" w:hAnsi="Times New Roman;Times;Serif"/>
          <w:b/>
          <w:i w:val="false"/>
          <w:caps w:val="false"/>
          <w:smallCaps w:val="false"/>
          <w:sz w:val="20"/>
          <w:bdr w:val="single" w:sz="12" w:space="5" w:color="000000"/>
        </w:rPr>
        <w:t xml:space="preserve">FEES AND EXPENSES </w:t>
      </w:r>
    </w:p>
    <w:p>
      <w:pPr>
        <w:pStyle w:val="TextBody"/>
        <w:bidi w:val="0"/>
        <w:spacing w:before="0" w:after="0"/>
        <w:ind w:left="2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table is intended to assist you in understanding the costs and expenses that an investor in this offering will bear directly or indirectly. We caution you that some of the percentages indicated in the table below are estimates and may vary. Moreover, the information set forth below does not include any transaction costs and expenses that investors will incur in connection with each offering of our securities pursuant to this prospectus. As a result, investors are urged to read the “Fees and Expenses” table contained in any corresponding prospectus supplement to fully understanding the actual transaction costs and expenses they will incur in connection with each such offering. Except where the context suggests otherwise, whenever this prospectus contains a reference to fees or expenses paid by “you,” “us” or “Saratoga Investment Corp.,” or that “we” will pay fees or expenses, stockholders will indirectly bear such fees or expenses as investors in Saratoga Investment Corp.</w:t>
      </w:r>
    </w:p>
    <w:p>
      <w:pPr>
        <w:pStyle w:val="TextBody"/>
        <w:bidi w:val="0"/>
        <w:spacing w:before="0" w:after="0"/>
        <w:ind w:left="2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8882"/>
        <w:gridCol w:w="90"/>
        <w:gridCol w:w="90"/>
        <w:gridCol w:w="590"/>
        <w:gridCol w:w="553"/>
      </w:tblGrid>
      <w:tr>
        <w:trPr/>
        <w:tc>
          <w:tcPr>
            <w:tcW w:w="10205" w:type="dxa"/>
            <w:gridSpan w:val="5"/>
            <w:tcBorders/>
            <w:vAlign w:val="center"/>
          </w:tcPr>
          <w:p>
            <w:pPr>
              <w:pStyle w:val="TableContents"/>
              <w:bidi w:val="0"/>
              <w:spacing w:before="0" w:after="283"/>
              <w:ind w:left="0" w:right="0" w:hanging="200"/>
              <w:jc w:val="left"/>
              <w:rPr>
                <w:b/>
              </w:rPr>
            </w:pPr>
            <w:r>
              <w:rPr>
                <w:b/>
              </w:rPr>
              <w:t>Stockholder transaction expenses (as a percentage of offering price):</w:t>
            </w:r>
          </w:p>
        </w:tc>
      </w:tr>
      <w:tr>
        <w:trPr/>
        <w:tc>
          <w:tcPr>
            <w:tcW w:w="8882" w:type="dxa"/>
            <w:tcBorders/>
            <w:shd w:fill="CCEEFF" w:val="clear"/>
            <w:vAlign w:val="center"/>
          </w:tcPr>
          <w:p>
            <w:pPr>
              <w:pStyle w:val="TableContents"/>
              <w:bidi w:val="0"/>
              <w:spacing w:before="0" w:after="283"/>
              <w:jc w:val="left"/>
              <w:rPr/>
            </w:pPr>
            <w:r>
              <w:rPr/>
              <w:t xml:space="preserve">Sales load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553" w:type="dxa"/>
            <w:tcBorders/>
            <w:shd w:fill="CCEEFF" w:val="clear"/>
            <w:vAlign w:val="center"/>
          </w:tcPr>
          <w:p>
            <w:pPr>
              <w:pStyle w:val="TableContents"/>
              <w:bidi w:val="0"/>
              <w:spacing w:before="0" w:after="283"/>
              <w:ind w:left="0" w:right="0" w:hanging="200"/>
              <w:jc w:val="left"/>
              <w:rPr/>
            </w:pPr>
            <w:r>
              <w:rPr/>
              <w:t>%(1)</w:t>
            </w:r>
          </w:p>
        </w:tc>
      </w:tr>
      <w:tr>
        <w:trPr/>
        <w:tc>
          <w:tcPr>
            <w:tcW w:w="8882" w:type="dxa"/>
            <w:tcBorders/>
            <w:shd w:fill="FFFFFF" w:val="clear"/>
            <w:vAlign w:val="center"/>
          </w:tcPr>
          <w:p>
            <w:pPr>
              <w:pStyle w:val="TableContents"/>
              <w:bidi w:val="0"/>
              <w:spacing w:before="0" w:after="283"/>
              <w:jc w:val="left"/>
              <w:rPr/>
            </w:pPr>
            <w:r>
              <w:rPr/>
              <w:t>Offering expenses borne by us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553" w:type="dxa"/>
            <w:tcBorders/>
            <w:shd w:fill="FFFFFF" w:val="clear"/>
            <w:vAlign w:val="center"/>
          </w:tcPr>
          <w:p>
            <w:pPr>
              <w:pStyle w:val="TableContents"/>
              <w:bidi w:val="0"/>
              <w:spacing w:before="0" w:after="283"/>
              <w:ind w:left="0" w:right="0" w:hanging="200"/>
              <w:jc w:val="left"/>
              <w:rPr/>
            </w:pPr>
            <w:r>
              <w:rPr/>
              <w:t>%(2)</w:t>
            </w:r>
          </w:p>
        </w:tc>
      </w:tr>
      <w:tr>
        <w:trPr/>
        <w:tc>
          <w:tcPr>
            <w:tcW w:w="8882" w:type="dxa"/>
            <w:tcBorders/>
            <w:shd w:fill="CCEEFF" w:val="clear"/>
            <w:vAlign w:val="center"/>
          </w:tcPr>
          <w:p>
            <w:pPr>
              <w:pStyle w:val="TableContents"/>
              <w:bidi w:val="0"/>
              <w:spacing w:before="0" w:after="283"/>
              <w:jc w:val="left"/>
              <w:rPr/>
            </w:pPr>
            <w:r>
              <w:rPr/>
              <w:t>Dividend reinvestment plan expenses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None</w:t>
            </w:r>
          </w:p>
        </w:tc>
        <w:tc>
          <w:tcPr>
            <w:tcW w:w="553" w:type="dxa"/>
            <w:tcBorders/>
            <w:shd w:fill="CCEEFF" w:val="clear"/>
            <w:vAlign w:val="center"/>
          </w:tcPr>
          <w:p>
            <w:pPr>
              <w:pStyle w:val="TableContents"/>
              <w:bidi w:val="0"/>
              <w:spacing w:before="0" w:after="283"/>
              <w:jc w:val="left"/>
              <w:rPr/>
            </w:pPr>
            <w:r>
              <w:rPr/>
              <w:t>(3)</w:t>
            </w:r>
          </w:p>
        </w:tc>
      </w:tr>
      <w:tr>
        <w:trPr/>
        <w:tc>
          <w:tcPr>
            <w:tcW w:w="888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553" w:type="dxa"/>
            <w:tcBorders/>
            <w:shd w:fill="FFFFFF" w:val="clear"/>
            <w:vAlign w:val="center"/>
          </w:tcPr>
          <w:p>
            <w:pPr>
              <w:pStyle w:val="TableContents"/>
              <w:bidi w:val="0"/>
              <w:spacing w:before="0" w:after="283"/>
              <w:ind w:left="0" w:right="0" w:hanging="200"/>
              <w:jc w:val="left"/>
              <w:rPr/>
            </w:pPr>
            <w:r>
              <w:rPr/>
              <w:t> </w:t>
            </w:r>
          </w:p>
        </w:tc>
      </w:tr>
      <w:tr>
        <w:trPr/>
        <w:tc>
          <w:tcPr>
            <w:tcW w:w="8882" w:type="dxa"/>
            <w:tcBorders/>
            <w:shd w:fill="CCEEFF" w:val="clear"/>
            <w:vAlign w:val="center"/>
          </w:tcPr>
          <w:p>
            <w:pPr>
              <w:pStyle w:val="TableContents"/>
              <w:bidi w:val="0"/>
              <w:spacing w:before="0" w:after="283"/>
              <w:jc w:val="left"/>
              <w:rPr/>
            </w:pPr>
            <w:r>
              <w:rPr/>
              <w:t xml:space="preserve">Total stockholder transaction expenses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553" w:type="dxa"/>
            <w:tcBorders/>
            <w:shd w:fill="CCEEFF" w:val="clear"/>
            <w:vAlign w:val="center"/>
          </w:tcPr>
          <w:p>
            <w:pPr>
              <w:pStyle w:val="TableContents"/>
              <w:bidi w:val="0"/>
              <w:spacing w:before="0" w:after="283"/>
              <w:ind w:left="0" w:right="0" w:hanging="200"/>
              <w:jc w:val="left"/>
              <w:rPr/>
            </w:pPr>
            <w:r>
              <w:rPr/>
              <w:t>%</w:t>
            </w:r>
          </w:p>
        </w:tc>
      </w:tr>
      <w:tr>
        <w:trPr/>
        <w:tc>
          <w:tcPr>
            <w:tcW w:w="8882" w:type="dxa"/>
            <w:tcBorders/>
            <w:shd w:fill="FFFFFF" w:val="clear"/>
            <w:vAlign w:val="center"/>
          </w:tcPr>
          <w:p>
            <w:pPr>
              <w:pStyle w:val="TableContents"/>
              <w:bidi w:val="0"/>
              <w:spacing w:before="0" w:after="283"/>
              <w:jc w:val="left"/>
              <w:rPr>
                <w:b/>
              </w:rPr>
            </w:pPr>
            <w:r>
              <w:rPr>
                <w:b/>
              </w:rPr>
              <w:t>Annual estimated expenses (as a percentage of average net assets attributable to common stock):</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553" w:type="dxa"/>
            <w:tcBorders/>
            <w:shd w:fill="FFFFFF" w:val="clear"/>
            <w:vAlign w:val="center"/>
          </w:tcPr>
          <w:p>
            <w:pPr>
              <w:pStyle w:val="TableContents"/>
              <w:bidi w:val="0"/>
              <w:spacing w:before="0" w:after="283"/>
              <w:ind w:left="0" w:right="0" w:hanging="200"/>
              <w:jc w:val="left"/>
              <w:rPr/>
            </w:pPr>
            <w:r>
              <w:rPr/>
              <w:t> </w:t>
            </w:r>
          </w:p>
        </w:tc>
      </w:tr>
      <w:tr>
        <w:trPr/>
        <w:tc>
          <w:tcPr>
            <w:tcW w:w="8882" w:type="dxa"/>
            <w:tcBorders/>
            <w:shd w:fill="CCEEFF" w:val="clear"/>
            <w:vAlign w:val="center"/>
          </w:tcPr>
          <w:p>
            <w:pPr>
              <w:pStyle w:val="TableContents"/>
              <w:bidi w:val="0"/>
              <w:spacing w:before="0" w:after="283"/>
              <w:jc w:val="left"/>
              <w:rPr/>
            </w:pPr>
            <w:r>
              <w:rPr/>
              <w:t>Management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4.35</w:t>
            </w:r>
          </w:p>
        </w:tc>
        <w:tc>
          <w:tcPr>
            <w:tcW w:w="553" w:type="dxa"/>
            <w:tcBorders/>
            <w:shd w:fill="CCEEFF" w:val="clear"/>
            <w:vAlign w:val="center"/>
          </w:tcPr>
          <w:p>
            <w:pPr>
              <w:pStyle w:val="TableContents"/>
              <w:bidi w:val="0"/>
              <w:spacing w:before="0" w:after="283"/>
              <w:ind w:left="0" w:right="0" w:hanging="200"/>
              <w:jc w:val="left"/>
              <w:rPr/>
            </w:pPr>
            <w:r>
              <w:rPr/>
              <w:t>%(4)</w:t>
            </w:r>
          </w:p>
        </w:tc>
      </w:tr>
      <w:tr>
        <w:trPr/>
        <w:tc>
          <w:tcPr>
            <w:tcW w:w="8882" w:type="dxa"/>
            <w:tcBorders/>
            <w:shd w:fill="FFFFFF" w:val="clear"/>
            <w:vAlign w:val="center"/>
          </w:tcPr>
          <w:p>
            <w:pPr>
              <w:pStyle w:val="TableContents"/>
              <w:bidi w:val="0"/>
              <w:spacing w:before="0" w:after="283"/>
              <w:jc w:val="left"/>
              <w:rPr/>
            </w:pPr>
            <w:r>
              <w:rPr/>
              <w:t>Incentive fees payable under the Management Agreement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2.40</w:t>
            </w:r>
          </w:p>
        </w:tc>
        <w:tc>
          <w:tcPr>
            <w:tcW w:w="553" w:type="dxa"/>
            <w:tcBorders/>
            <w:shd w:fill="FFFFFF" w:val="clear"/>
            <w:vAlign w:val="center"/>
          </w:tcPr>
          <w:p>
            <w:pPr>
              <w:pStyle w:val="TableContents"/>
              <w:bidi w:val="0"/>
              <w:spacing w:before="0" w:after="283"/>
              <w:ind w:left="0" w:right="0" w:hanging="200"/>
              <w:jc w:val="left"/>
              <w:rPr/>
            </w:pPr>
            <w:r>
              <w:rPr/>
              <w:t>%(5)</w:t>
            </w:r>
          </w:p>
        </w:tc>
      </w:tr>
      <w:tr>
        <w:trPr/>
        <w:tc>
          <w:tcPr>
            <w:tcW w:w="8882" w:type="dxa"/>
            <w:tcBorders/>
            <w:shd w:fill="CCEEFF" w:val="clear"/>
            <w:vAlign w:val="center"/>
          </w:tcPr>
          <w:p>
            <w:pPr>
              <w:pStyle w:val="TableContents"/>
              <w:bidi w:val="0"/>
              <w:spacing w:before="0" w:after="283"/>
              <w:jc w:val="left"/>
              <w:rPr/>
            </w:pPr>
            <w:r>
              <w:rPr/>
              <w:t>Interest payments on borrowed funds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12.15</w:t>
            </w:r>
          </w:p>
        </w:tc>
        <w:tc>
          <w:tcPr>
            <w:tcW w:w="553" w:type="dxa"/>
            <w:tcBorders/>
            <w:shd w:fill="CCEEFF" w:val="clear"/>
            <w:vAlign w:val="center"/>
          </w:tcPr>
          <w:p>
            <w:pPr>
              <w:pStyle w:val="TableContents"/>
              <w:bidi w:val="0"/>
              <w:spacing w:before="0" w:after="283"/>
              <w:ind w:left="0" w:right="0" w:hanging="200"/>
              <w:jc w:val="left"/>
              <w:rPr/>
            </w:pPr>
            <w:r>
              <w:rPr/>
              <w:t>%(6)</w:t>
            </w:r>
          </w:p>
        </w:tc>
      </w:tr>
      <w:tr>
        <w:trPr/>
        <w:tc>
          <w:tcPr>
            <w:tcW w:w="8882" w:type="dxa"/>
            <w:tcBorders/>
            <w:shd w:fill="FFFFFF" w:val="clear"/>
            <w:vAlign w:val="center"/>
          </w:tcPr>
          <w:p>
            <w:pPr>
              <w:pStyle w:val="TableContents"/>
              <w:bidi w:val="0"/>
              <w:spacing w:before="0" w:after="283"/>
              <w:jc w:val="left"/>
              <w:rPr/>
            </w:pPr>
            <w:r>
              <w:rPr/>
              <w:t>Other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2.87</w:t>
            </w:r>
          </w:p>
        </w:tc>
        <w:tc>
          <w:tcPr>
            <w:tcW w:w="553" w:type="dxa"/>
            <w:tcBorders/>
            <w:shd w:fill="FFFFFF" w:val="clear"/>
            <w:vAlign w:val="center"/>
          </w:tcPr>
          <w:p>
            <w:pPr>
              <w:pStyle w:val="TableContents"/>
              <w:bidi w:val="0"/>
              <w:spacing w:before="0" w:after="283"/>
              <w:jc w:val="left"/>
              <w:rPr/>
            </w:pPr>
            <w:r>
              <w:rPr/>
              <w:t>%(7)</w:t>
            </w:r>
          </w:p>
        </w:tc>
      </w:tr>
      <w:tr>
        <w:trPr/>
        <w:tc>
          <w:tcPr>
            <w:tcW w:w="88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553" w:type="dxa"/>
            <w:tcBorders/>
            <w:shd w:fill="CCEEFF" w:val="clear"/>
            <w:vAlign w:val="center"/>
          </w:tcPr>
          <w:p>
            <w:pPr>
              <w:pStyle w:val="TableContents"/>
              <w:bidi w:val="0"/>
              <w:spacing w:before="0" w:after="283"/>
              <w:ind w:left="0" w:right="0" w:hanging="200"/>
              <w:jc w:val="left"/>
              <w:rPr/>
            </w:pPr>
            <w:r>
              <w:rPr/>
              <w:t> </w:t>
            </w:r>
          </w:p>
        </w:tc>
      </w:tr>
      <w:tr>
        <w:trPr/>
        <w:tc>
          <w:tcPr>
            <w:tcW w:w="8882" w:type="dxa"/>
            <w:tcBorders/>
            <w:shd w:fill="FFFFFF" w:val="clear"/>
            <w:vAlign w:val="center"/>
          </w:tcPr>
          <w:p>
            <w:pPr>
              <w:pStyle w:val="TableContents"/>
              <w:bidi w:val="0"/>
              <w:spacing w:before="0" w:after="283"/>
              <w:jc w:val="left"/>
              <w:rPr/>
            </w:pPr>
            <w:r>
              <w:rPr/>
              <w:t>Total annual expenses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21.76</w:t>
            </w:r>
          </w:p>
        </w:tc>
        <w:tc>
          <w:tcPr>
            <w:tcW w:w="553" w:type="dxa"/>
            <w:tcBorders/>
            <w:shd w:fill="FFFFFF" w:val="clear"/>
            <w:vAlign w:val="center"/>
          </w:tcPr>
          <w:p>
            <w:pPr>
              <w:pStyle w:val="TableContents"/>
              <w:bidi w:val="0"/>
              <w:spacing w:before="0" w:after="283"/>
              <w:jc w:val="left"/>
              <w:rPr/>
            </w:pPr>
            <w:r>
              <w:rPr/>
              <w:t>%(8)</w:t>
            </w:r>
          </w:p>
        </w:tc>
      </w:tr>
    </w:tbl>
    <w:p>
      <w:pPr>
        <w:pStyle w:val="TextBody"/>
        <w:bidi w:val="0"/>
        <w:spacing w:before="0" w:after="0"/>
        <w:ind w:left="2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both"/>
              <w:rPr/>
            </w:pPr>
            <w:r>
              <w:rPr/>
              <w:t>(1)</w:t>
            </w:r>
          </w:p>
        </w:tc>
        <w:tc>
          <w:tcPr>
            <w:tcW w:w="9936" w:type="dxa"/>
            <w:tcBorders/>
            <w:vAlign w:val="center"/>
          </w:tcPr>
          <w:p>
            <w:pPr>
              <w:pStyle w:val="TableContents"/>
              <w:bidi w:val="0"/>
              <w:spacing w:before="0" w:after="283"/>
              <w:jc w:val="both"/>
              <w:rPr/>
            </w:pPr>
            <w:r>
              <w:rPr/>
              <w:t>In the event that the shares of common stock to which this prospectus relates are sold to or through underwriters, a corresponding prospectus supplement will disclose the applicable sales load.</w:t>
            </w:r>
          </w:p>
        </w:tc>
      </w:tr>
      <w:tr>
        <w:trPr/>
        <w:tc>
          <w:tcPr>
            <w:tcW w:w="269" w:type="dxa"/>
            <w:tcBorders/>
            <w:vAlign w:val="center"/>
          </w:tcPr>
          <w:p>
            <w:pPr>
              <w:pStyle w:val="TableContents"/>
              <w:bidi w:val="0"/>
              <w:spacing w:before="0" w:after="283"/>
              <w:jc w:val="both"/>
              <w:rPr/>
            </w:pPr>
            <w:r>
              <w:rPr/>
              <w:t>(2)</w:t>
            </w:r>
          </w:p>
        </w:tc>
        <w:tc>
          <w:tcPr>
            <w:tcW w:w="9936" w:type="dxa"/>
            <w:tcBorders/>
            <w:vAlign w:val="center"/>
          </w:tcPr>
          <w:p>
            <w:pPr>
              <w:pStyle w:val="TableContents"/>
              <w:bidi w:val="0"/>
              <w:spacing w:before="0" w:after="283"/>
              <w:jc w:val="both"/>
              <w:rPr/>
            </w:pPr>
            <w:r>
              <w:rPr/>
              <w:t>The prospectus supplement corresponding to each offering will disclose the applicable offering expenses and total stockholder transaction expenses.</w:t>
            </w:r>
          </w:p>
        </w:tc>
      </w:tr>
      <w:tr>
        <w:trPr/>
        <w:tc>
          <w:tcPr>
            <w:tcW w:w="269" w:type="dxa"/>
            <w:tcBorders/>
            <w:vAlign w:val="center"/>
          </w:tcPr>
          <w:p>
            <w:pPr>
              <w:pStyle w:val="TableContents"/>
              <w:bidi w:val="0"/>
              <w:spacing w:before="0" w:after="283"/>
              <w:jc w:val="both"/>
              <w:rPr/>
            </w:pPr>
            <w:r>
              <w:rPr/>
              <w:t>(3)</w:t>
            </w:r>
          </w:p>
        </w:tc>
        <w:tc>
          <w:tcPr>
            <w:tcW w:w="9936" w:type="dxa"/>
            <w:tcBorders/>
            <w:vAlign w:val="center"/>
          </w:tcPr>
          <w:p>
            <w:pPr>
              <w:pStyle w:val="TableContents"/>
              <w:bidi w:val="0"/>
              <w:spacing w:before="0" w:after="283"/>
              <w:jc w:val="both"/>
              <w:rPr/>
            </w:pPr>
            <w:r>
              <w:rPr/>
              <w:t>The expenses associated with the administration of our dividend reinvestment plan are included in “Other expenses.” The participants in the dividend reinvestment plan will pay a pro rata share of brokerage commissions incurred with respect to open market purchases, if any, made by the administrator under the plan. For more details about the plan, see “Dividend Reinvestment Plan.”</w:t>
            </w:r>
          </w:p>
        </w:tc>
      </w:tr>
      <w:tr>
        <w:trPr/>
        <w:tc>
          <w:tcPr>
            <w:tcW w:w="269" w:type="dxa"/>
            <w:tcBorders/>
            <w:vAlign w:val="center"/>
          </w:tcPr>
          <w:p>
            <w:pPr>
              <w:pStyle w:val="TableContents"/>
              <w:bidi w:val="0"/>
              <w:spacing w:before="0" w:after="283"/>
              <w:jc w:val="both"/>
              <w:rPr/>
            </w:pPr>
            <w:r>
              <w:rPr/>
              <w:t>(4)</w:t>
            </w:r>
          </w:p>
        </w:tc>
        <w:tc>
          <w:tcPr>
            <w:tcW w:w="9936" w:type="dxa"/>
            <w:tcBorders/>
            <w:vAlign w:val="center"/>
          </w:tcPr>
          <w:p>
            <w:pPr>
              <w:pStyle w:val="TableContents"/>
              <w:bidi w:val="0"/>
              <w:spacing w:before="0" w:after="283"/>
              <w:jc w:val="both"/>
              <w:rPr/>
            </w:pPr>
            <w:r>
              <w:rPr/>
              <w:t>Our base management fee under the Management Agreement with Saratoga Investment Advisors is based on our gross assets, which is defined as our total assets, including those acquired using borrowings for investment purposes, but excluding cash and cash equivalents. See “Investment Advisory and Management Agreement” in Part I, Item 1 of our most recent Annual Report on Form 10-K. The fact that our base management fee is payable based upon our gross assets, rather than our net assets (i.e., total assets after deduction of any liabilities, including borrowings) means that our base management fee as a percentage of net assets attributable to common stock will increase when we utilize leverage.</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both"/>
              <w:rPr/>
            </w:pPr>
            <w:r>
              <w:rPr/>
              <w:t>(5)</w:t>
            </w:r>
          </w:p>
        </w:tc>
        <w:tc>
          <w:tcPr>
            <w:tcW w:w="99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consists of two parts. The first part is calculated and payable quarterly in arrears and equals 20% of our “pre-incentive fee net investment income” for the immediately preceding quarter, subject to a preferred return, or “hurdle,” and a “catch up” feature. For this purpose, “pre-incentive fee net investment income” means interest income, dividend income and any other income (including any other fees, such as commitment, origination, structuring, diligence, managerial and consulting fees or other fees that we receive from portfolio companies) accrued by us during the fiscal quarter, minus our operating expenses for the quarter (including the base management fee, expenses payable under the administration agreement described below, and any interest expense and dividends paid on any issued and outstanding preferred stock, but excluding the incentive fee).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part of the incentive fee is determined and payable in arrears as of the end of each fiscal year (or upon termination of the Management Agreement) and equals 20%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Under the Management Agreement,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Saratoga Investment Advisors will be entitled to 20% of incentive fee capital gains that arise after May 31, 2010. In addition, the cost basis for computing realized gains and losses on investments held by us as of May 31, 2010 will equal the fair value of such investments as of such date. See “Investment Advisory and Management Agreement” in in Part I, Item 1 of our most recent Annual Report on Form 10-K. We estimate this as zero for purposes of this table as these fees are difficult to predict, as they are based on capital gains and losses.</w:t>
            </w:r>
          </w:p>
        </w:tc>
      </w:tr>
      <w:tr>
        <w:trPr/>
        <w:tc>
          <w:tcPr>
            <w:tcW w:w="262" w:type="dxa"/>
            <w:tcBorders/>
            <w:vAlign w:val="center"/>
          </w:tcPr>
          <w:p>
            <w:pPr>
              <w:pStyle w:val="TableContents"/>
              <w:bidi w:val="0"/>
              <w:spacing w:before="0" w:after="283"/>
              <w:jc w:val="both"/>
              <w:rPr/>
            </w:pPr>
            <w:r>
              <w:rPr/>
              <w:t>(6)</w:t>
            </w:r>
          </w:p>
        </w:tc>
        <w:tc>
          <w:tcPr>
            <w:tcW w:w="9943" w:type="dxa"/>
            <w:tcBorders/>
            <w:vAlign w:val="center"/>
          </w:tcPr>
          <w:p>
            <w:pPr>
              <w:pStyle w:val="TableContents"/>
              <w:bidi w:val="0"/>
              <w:spacing w:before="0" w:after="283"/>
              <w:jc w:val="both"/>
              <w:rPr/>
            </w:pPr>
            <w:r>
              <w:rPr/>
              <w:t xml:space="preserve">We may borrow funds from time to time to make investments to the extent we determine that the economic situation is conducive to doing so. The 12.15% figure in the table includes all expected borrowing costs that we expect to incur over the next twelve months in connection with the special purpose vehicle financing credit facility with Live Oak Banking Company (the “Live Oak Credit Facility”) and the special purpose vehicle financing credit facility with Valley National Bank (the “Valley Credit Facility”). The costs associated with our outstanding borrowings are indirectly borne by our stockholders. We do not expect to issue any preferred stock during the next twelve months and, therefore, have not included the cost of issuing and servicing preferred stock in the table. In addition, all of the commitment fees, interest expense, amortized financing costs of the Valley Credit Facility, the Live Oak Credit Facility, the SBA debentures, the 4.375% notes due 2026 (the “4.375% 2026 Notes”), the 4.35% notes due 2027 (the “4.35% 2027 Notes”), the 6.00% notes due 2027 (the “6.00% 2027 Notes”), the 6.25% notes due 2027 (the “6.25% 2027 Notes), the 8.00% notes due 2027 (the “8.00% 2027 Notes”), the 8.125% 2027 Notes (the “8.125% 2027 Notes”), the 8.50% notes due 2028 (the “8.50% 2028 Notes”, and together with the 4.375% 2026 Notes, the 4.35% 2027 Notes, the 6.00% 2027 Notes, the 6.25% 2027 Notes, the 8.00% 2027 Notes, and the 8.125% 2027 Notes, the “Notes”), and the fees and expenses of issuing and servicing any other borrowings or leverage that we expect to incur during the next twelve months are included in the table and expense example presentation below. On April 16, 2018, our board of directors, including a majority of independent directors, approved the Company becoming subject to a minimum asset coverage ratio of 150%. The 150% asset coverage ratio became effective on April 16, 2019. See “Business” in Part I, Item 1 and “Risk Factors—Risks Related to Our Business and Structure— Effective April 16, 2019, our asset coverage requirement was reduced from 200% to 150%, which could increase the risk of investing in the Company” in Part I, Item 1A of our most recent Annual Report on Form 10-K. </w:t>
            </w:r>
          </w:p>
        </w:tc>
      </w:tr>
      <w:tr>
        <w:trPr/>
        <w:tc>
          <w:tcPr>
            <w:tcW w:w="262" w:type="dxa"/>
            <w:tcBorders/>
            <w:vAlign w:val="center"/>
          </w:tcPr>
          <w:p>
            <w:pPr>
              <w:pStyle w:val="TableContents"/>
              <w:bidi w:val="0"/>
              <w:spacing w:before="0" w:after="283"/>
              <w:jc w:val="both"/>
              <w:rPr/>
            </w:pPr>
            <w:r>
              <w:rPr/>
              <w:t>(7)</w:t>
            </w:r>
          </w:p>
        </w:tc>
        <w:tc>
          <w:tcPr>
            <w:tcW w:w="9943" w:type="dxa"/>
            <w:tcBorders/>
            <w:vAlign w:val="center"/>
          </w:tcPr>
          <w:p>
            <w:pPr>
              <w:pStyle w:val="TableContents"/>
              <w:bidi w:val="0"/>
              <w:spacing w:before="0" w:after="283"/>
              <w:jc w:val="both"/>
              <w:rPr/>
            </w:pPr>
            <w:r>
              <w:rPr/>
              <w:t>“</w:t>
            </w:r>
            <w:r>
              <w:rPr/>
              <w:t xml:space="preserve">Other expenses” are based on estimated amounts for the quarter ended November 30, 2025 and include our overhead expenses, including payments under our administration agreement based on our allocable portion of overhead and other expenses incurred by Saratoga Investment Advisors in performing its obligations under the administration agreement. See “Administration Agreement.” </w:t>
            </w:r>
          </w:p>
        </w:tc>
      </w:tr>
      <w:tr>
        <w:trPr/>
        <w:tc>
          <w:tcPr>
            <w:tcW w:w="262" w:type="dxa"/>
            <w:tcBorders/>
            <w:vAlign w:val="center"/>
          </w:tcPr>
          <w:p>
            <w:pPr>
              <w:pStyle w:val="TableContents"/>
              <w:bidi w:val="0"/>
              <w:spacing w:before="0" w:after="283"/>
              <w:jc w:val="both"/>
              <w:rPr/>
            </w:pPr>
            <w:r>
              <w:rPr/>
              <w:t>(8)</w:t>
            </w:r>
          </w:p>
        </w:tc>
        <w:tc>
          <w:tcPr>
            <w:tcW w:w="9943" w:type="dxa"/>
            <w:tcBorders/>
            <w:vAlign w:val="center"/>
          </w:tcPr>
          <w:p>
            <w:pPr>
              <w:pStyle w:val="TableContents"/>
              <w:bidi w:val="0"/>
              <w:spacing w:before="0" w:after="283"/>
              <w:jc w:val="both"/>
              <w:rPr/>
            </w:pPr>
            <w:r>
              <w:rPr/>
              <w:t xml:space="preserve">This figure includes all of the fees and expenses of our wholly owned subsidiaries, SBIC II LP, SBIC III LP, Saratoga Investment Funding II LLC, Saratoga Investment Funding III LLC, except SLF JV. As SLF JV is structured as private joint venture, with control and management shared equally between us and TJHA, no management fees are paid by SLF JV. Furthermore, this table reflects all of the fees and expenses borne by us with respect to our investment in Saratoga CLO. </w:t>
            </w:r>
          </w:p>
        </w:tc>
      </w:tr>
    </w:tbl>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Example</w:t>
      </w:r>
    </w:p>
    <w:p>
      <w:pPr>
        <w:pStyle w:val="TextBody"/>
        <w:shd w:fill="FFFFFF" w:val="clear"/>
        <w:bidi w:val="0"/>
        <w:spacing w:before="0" w:after="0"/>
        <w:ind w:left="0" w:right="0" w:firstLine="49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example demonstrates the projected dollar amount of total cumulative expenses over various periods with respect to a hypothetical $1,000 investment in our common stock, assuming an asset coverage ratio of 168.4% (the Company’s actual asset coverage as of November 30, 2025) and total annual expenses of 21.76% of net assets attributable to common stock as set forth in the fees and expenses table above, and (x) a 5.0% annual return resulting entirely from net realized capital gains (none of which is subject to the incentive fee) and (y) a 5.0% annual return resulting entirely from net realized capital gains (all of which is subject to the incentive fee based on capital gains). Transaction expenses are included in the following example. This example and the expenses in the table above should not be considered a representation of our future expenses, and actual expenses (including cost of debt, if any, and other expenses) may be greater or less than those shown.</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28" w:type="dxa"/>
          <w:right w:w="0" w:type="dxa"/>
        </w:tblCellMar>
      </w:tblPr>
      <w:tblGrid>
        <w:gridCol w:w="6090"/>
        <w:gridCol w:w="90"/>
        <w:gridCol w:w="216"/>
        <w:gridCol w:w="524"/>
        <w:gridCol w:w="90"/>
        <w:gridCol w:w="90"/>
        <w:gridCol w:w="243"/>
        <w:gridCol w:w="587"/>
        <w:gridCol w:w="90"/>
        <w:gridCol w:w="90"/>
        <w:gridCol w:w="185"/>
        <w:gridCol w:w="645"/>
        <w:gridCol w:w="90"/>
        <w:gridCol w:w="90"/>
        <w:gridCol w:w="212"/>
        <w:gridCol w:w="738"/>
        <w:gridCol w:w="135"/>
      </w:tblGrid>
      <w:tr>
        <w:trPr/>
        <w:tc>
          <w:tcPr>
            <w:tcW w:w="609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would pay the following expenses on a</w:t>
            </w:r>
          </w:p>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 investment in our common stock:</w:t>
            </w:r>
          </w:p>
        </w:tc>
        <w:tc>
          <w:tcPr>
            <w:tcW w:w="9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1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3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b/>
              </w:rPr>
            </w:pPr>
            <w:r>
              <w:rPr>
                <w:b/>
              </w:rPr>
              <w:t>5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rPr>
            </w:pPr>
            <w:r>
              <w:rPr>
                <w:b/>
              </w:rPr>
              <w:t>10 Years</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6090" w:type="dxa"/>
            <w:tcBorders/>
            <w:shd w:fill="CCEEFF" w:val="clear"/>
            <w:tcMar>
              <w:bottom w:w="0" w:type="dxa"/>
            </w:tcMar>
            <w:vAlign w:val="center"/>
          </w:tcPr>
          <w:p>
            <w:pPr>
              <w:pStyle w:val="TableContents"/>
              <w:bidi w:val="0"/>
              <w:spacing w:before="0" w:after="283"/>
              <w:jc w:val="both"/>
              <w:rPr/>
            </w:pPr>
            <w:r>
              <w:rPr/>
              <w:t>assuming a 5% annual return resulting entirely from net realized capital gains (none of which is subject to the capital gains incentive fee)</w:t>
            </w: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524" w:type="dxa"/>
            <w:tcBorders/>
            <w:shd w:fill="CCEEFF" w:val="clear"/>
            <w:tcMar>
              <w:bottom w:w="0" w:type="dxa"/>
            </w:tcMar>
            <w:vAlign w:val="center"/>
          </w:tcPr>
          <w:p>
            <w:pPr>
              <w:pStyle w:val="TableContents"/>
              <w:bidi w:val="0"/>
              <w:spacing w:before="0" w:after="283"/>
              <w:jc w:val="right"/>
              <w:rPr/>
            </w:pPr>
            <w:r>
              <w:rPr/>
              <w:t>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587" w:type="dxa"/>
            <w:tcBorders/>
            <w:shd w:fill="CCEEFF" w:val="clear"/>
            <w:tcMar>
              <w:bottom w:w="0" w:type="dxa"/>
            </w:tcMar>
            <w:vAlign w:val="center"/>
          </w:tcPr>
          <w:p>
            <w:pPr>
              <w:pStyle w:val="TableContents"/>
              <w:bidi w:val="0"/>
              <w:spacing w:before="0" w:after="283"/>
              <w:jc w:val="right"/>
              <w:rPr/>
            </w:pPr>
            <w:r>
              <w:rPr/>
              <w:t>703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5" w:type="dxa"/>
            <w:tcBorders/>
            <w:shd w:fill="CCEEFF" w:val="clear"/>
            <w:tcMar>
              <w:bottom w:w="0" w:type="dxa"/>
            </w:tcMar>
            <w:vAlign w:val="center"/>
          </w:tcPr>
          <w:p>
            <w:pPr>
              <w:pStyle w:val="TableContents"/>
              <w:bidi w:val="0"/>
              <w:spacing w:before="0" w:after="283"/>
              <w:jc w:val="right"/>
              <w:rPr/>
            </w:pPr>
            <w:r>
              <w:rPr/>
              <w:t>1,232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738" w:type="dxa"/>
            <w:tcBorders/>
            <w:shd w:fill="CCEEFF" w:val="clear"/>
            <w:tcMar>
              <w:bottom w:w="0" w:type="dxa"/>
            </w:tcMar>
            <w:vAlign w:val="center"/>
          </w:tcPr>
          <w:p>
            <w:pPr>
              <w:pStyle w:val="TableContents"/>
              <w:bidi w:val="0"/>
              <w:spacing w:before="0" w:after="283"/>
              <w:jc w:val="right"/>
              <w:rPr/>
            </w:pPr>
            <w:r>
              <w:rPr/>
              <w:t>2,805</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6090" w:type="dxa"/>
            <w:tcBorders/>
            <w:shd w:fill="FFFFFF" w:val="clear"/>
            <w:tcMar>
              <w:bottom w:w="0" w:type="dxa"/>
            </w:tcMar>
            <w:vAlign w:val="center"/>
          </w:tcPr>
          <w:p>
            <w:pPr>
              <w:pStyle w:val="TableContents"/>
              <w:bidi w:val="0"/>
              <w:spacing w:before="0" w:after="283"/>
              <w:jc w:val="both"/>
              <w:rPr/>
            </w:pPr>
            <w:r>
              <w:rPr/>
              <w:t>assuming a 5% annual return resulting entirely from net realized capital gains (all of which is subject to the incentive fee based on capital gains)</w:t>
            </w:r>
            <w:r>
              <w:rPr>
                <w:position w:val="8"/>
                <w:sz w:val="19"/>
              </w:rPr>
              <w:t>(2)</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w:t>
            </w:r>
          </w:p>
        </w:tc>
        <w:tc>
          <w:tcPr>
            <w:tcW w:w="524" w:type="dxa"/>
            <w:tcBorders/>
            <w:shd w:fill="FFFFFF" w:val="clear"/>
            <w:tcMar>
              <w:bottom w:w="0" w:type="dxa"/>
            </w:tcMar>
            <w:vAlign w:val="center"/>
          </w:tcPr>
          <w:p>
            <w:pPr>
              <w:pStyle w:val="TableContents"/>
              <w:bidi w:val="0"/>
              <w:spacing w:before="0" w:after="283"/>
              <w:jc w:val="right"/>
              <w:rPr/>
            </w:pPr>
            <w:r>
              <w:rPr/>
              <w:t>233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w:t>
            </w:r>
          </w:p>
        </w:tc>
        <w:tc>
          <w:tcPr>
            <w:tcW w:w="587" w:type="dxa"/>
            <w:tcBorders/>
            <w:shd w:fill="FFFFFF" w:val="clear"/>
            <w:tcMar>
              <w:bottom w:w="0" w:type="dxa"/>
            </w:tcMar>
            <w:vAlign w:val="center"/>
          </w:tcPr>
          <w:p>
            <w:pPr>
              <w:pStyle w:val="TableContents"/>
              <w:bidi w:val="0"/>
              <w:spacing w:before="0" w:after="283"/>
              <w:jc w:val="right"/>
              <w:rPr/>
            </w:pPr>
            <w:r>
              <w:rPr/>
              <w:t>735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5" w:type="dxa"/>
            <w:tcBorders/>
            <w:shd w:fill="FFFFFF" w:val="clear"/>
            <w:tcMar>
              <w:bottom w:w="0" w:type="dxa"/>
            </w:tcMar>
            <w:vAlign w:val="center"/>
          </w:tcPr>
          <w:p>
            <w:pPr>
              <w:pStyle w:val="TableContents"/>
              <w:bidi w:val="0"/>
              <w:spacing w:before="0" w:after="283"/>
              <w:jc w:val="right"/>
              <w:rPr/>
            </w:pPr>
            <w:r>
              <w:rPr/>
              <w:t>1,288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w:t>
            </w:r>
          </w:p>
        </w:tc>
        <w:tc>
          <w:tcPr>
            <w:tcW w:w="738" w:type="dxa"/>
            <w:tcBorders/>
            <w:shd w:fill="FFFFFF" w:val="clear"/>
            <w:tcMar>
              <w:bottom w:w="0" w:type="dxa"/>
            </w:tcMar>
            <w:vAlign w:val="center"/>
          </w:tcPr>
          <w:p>
            <w:pPr>
              <w:pStyle w:val="TableContents"/>
              <w:bidi w:val="0"/>
              <w:spacing w:before="0" w:after="283"/>
              <w:jc w:val="right"/>
              <w:rPr/>
            </w:pPr>
            <w:r>
              <w:rPr/>
              <w:t>2,931</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Assumes that we will not realize any capital gains computed net of all realized capital losses and unrealized capital depreciation.</w:t>
            </w:r>
          </w:p>
        </w:tc>
      </w:tr>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Assumes no unrealized capital depreciation and a 5% annual return resulting entirely from net realized capital gains and therefore subject to the incentive fee based on capital gains. Because our investment strategy involves investments that generate primarily current income, we believe that a 5% annual return resulting entirely from net realized capital gains is unlikely.</w:t>
            </w:r>
          </w:p>
        </w:tc>
      </w:tr>
    </w:tbl>
    <w:p>
      <w:pPr>
        <w:pStyle w:val="TextBody"/>
        <w:shd w:fill="FFFFFF" w:val="clear"/>
        <w:bidi w:val="0"/>
        <w:spacing w:before="0" w:after="0"/>
        <w:ind w:left="0" w:right="0" w:firstLine="49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9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This example and the expenses in the table above should not be considered a representation of our future expenses, and actual expenses (including the cost of debt, if any, and other expenses) may be greater or less than those shown.</w:t>
      </w:r>
    </w:p>
    <w:p>
      <w:pPr>
        <w:pStyle w:val="TextBody"/>
        <w:shd w:fill="FFFFFF" w:val="clear"/>
        <w:bidi w:val="0"/>
        <w:spacing w:before="0" w:after="0"/>
        <w:ind w:left="0" w:right="0" w:firstLine="49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Both examples assume that the 5% annual return will be generated entirely through net realized capital gains and, as a result, will trigger the payment of the capital gains portion of the incentive fee under the investment advisory agreement. Any potential income portion of the incentive fee under the investment advisory agreement is not included in the example. If we achieve sufficient returns on our investments, including through net realized capital gains, to trigger an incentive fee of a material amount, our expenses, and returns to our investors, would be higher. In addition, while the example assumes reinvestment of all dividends and distributions at NAV, under certain circumstances, reinvestment of dividends and other distributions under our dividend reinvestment plan may occur at a price per share that differs from NAV.</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8" w:name="a_008"/>
      <w:bookmarkEnd w:id="18"/>
      <w:r>
        <w:rPr>
          <w:rFonts w:ascii="Times New Roman;Times;Serif" w:hAnsi="Times New Roman;Times;Serif"/>
          <w:b/>
          <w:i w:val="false"/>
          <w:caps w:val="false"/>
          <w:smallCaps w:val="false"/>
          <w:sz w:val="20"/>
          <w:bdr w:val="single" w:sz="12" w:space="5" w:color="000000"/>
        </w:rPr>
        <w:t>FINANCIAL HIGHLIGHTS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12" w:space="5" w:color="000000"/>
        </w:rPr>
        <w:t xml:space="preserve">The information in Part II, Item 5 of our most recent Annual Report on </w:t>
      </w:r>
      <w:hyperlink r:id="rId13">
        <w:r>
          <w:rPr>
            <w:rStyle w:val="InternetLink"/>
            <w:rFonts w:ascii="Times New Roman;Times;Serif" w:hAnsi="Times New Roman;Times;Serif"/>
            <w:b w:val="false"/>
            <w:i w:val="false"/>
            <w:caps w:val="false"/>
            <w:smallCaps w:val="false"/>
            <w:sz w:val="20"/>
            <w:bdr w:val="single" w:sz="12" w:space="5" w:color="000000"/>
          </w:rPr>
          <w:t>Form 10-K</w:t>
        </w:r>
      </w:hyperlink>
      <w:r>
        <w:rPr>
          <w:rFonts w:ascii="Times New Roman;Times;Serif" w:hAnsi="Times New Roman;Times;Serif"/>
          <w:b w:val="false"/>
          <w:i w:val="false"/>
          <w:caps w:val="false"/>
          <w:smallCaps w:val="false"/>
          <w:sz w:val="20"/>
          <w:bdr w:val="single" w:sz="12" w:space="5" w:color="000000"/>
        </w:rPr>
        <w:t xml:space="preserve"> and the information in Note 14 to our unaudited consolidated financial statements appearing in our most recent Quarterly Report on </w:t>
      </w:r>
      <w:hyperlink r:id="rId14">
        <w:r>
          <w:rPr>
            <w:rStyle w:val="InternetLink"/>
            <w:rFonts w:ascii="Times New Roman;Times;Serif" w:hAnsi="Times New Roman;Times;Serif"/>
            <w:b w:val="false"/>
            <w:i w:val="false"/>
            <w:caps w:val="false"/>
            <w:smallCaps w:val="false"/>
            <w:sz w:val="20"/>
            <w:bdr w:val="single" w:sz="12" w:space="5" w:color="000000"/>
          </w:rPr>
          <w:t>Form 10-Q</w:t>
        </w:r>
      </w:hyperlink>
      <w:r>
        <w:rPr>
          <w:rFonts w:ascii="Times New Roman;Times;Serif" w:hAnsi="Times New Roman;Times;Serif"/>
          <w:b w:val="false"/>
          <w:i w:val="false"/>
          <w:caps w:val="false"/>
          <w:smallCaps w:val="false"/>
          <w:sz w:val="20"/>
          <w:bdr w:val="single" w:sz="12" w:space="5" w:color="000000"/>
        </w:rPr>
        <w:t xml:space="preserve"> is incorporated by reference herein.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Investing in our securities involves a high degree of risk.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Annual Report on </w:t>
      </w:r>
      <w:hyperlink r:id="rId1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any subsequent filings we have made with the SEC that are incorporated by reference into this prospectus,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NAV and the trading price of our securities to decline, resulting in a loss of all or part of your investment. Please also read carefully the section titled “Special Note Regarding Forward-Looking Statements” in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we intend to use substantially all of the net proceeds from the sale of our securities to make investments in middle-market companies in accordance with our investment objective and strategies described in this prospectus, and for general corporate purposes. We may also use a portion of the net proceeds to reduce any of our outstanding borrowings (which will be subject to re-borrowing).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We anticipate that substantially all of the net proceeds from any offering of our securities will be used as described above within six to twelve months. Pending such use, we will invest the net proceeds primarily in high quality, short-term debt securities consistent with our BDC election and our election to be treated as a RIC. See “Regulation—Business Development Company Regulations” In Part I, Item 1 of our most recent Annual Report on </w:t>
      </w:r>
      <w:hyperlink r:id="rId1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Our ability to achieve our investment objective may be limited to the extent that the net proceeds from an offering, pending full investment, are held in interest-bearing deposits or other short-term instruments. The supplement to this prospectus relating to an offering will more fully identify the use of proceeds from such an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All statements other than statements of historical facts, including statements regarding our future results of operations or financial condition, business strategy and plans, and objectives of management for future operations, are forward-looking statements. Any such forward-looking statements may involve known and unknown risks, uncertainties and other factors that may cause our actual results, performance or achievements to be materially different from future results, performance or achievements expressed or implied by any forward-looking statements.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The forward-looking statements contained or incorporated by reference in this prospectus and any applicable prospectus supplement or free writing prospectus involve risks and uncertainties, including statements as to:</w:t>
      </w:r>
    </w:p>
    <w:p>
      <w:pPr>
        <w:pStyle w:val="TextBody"/>
        <w:bidi w:val="0"/>
        <w:spacing w:before="0" w:after="0"/>
        <w:ind w:left="0" w:right="0" w:hanging="0"/>
        <w:jc w:val="left"/>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68"/>
        <w:gridCol w:w="200"/>
        <w:gridCol w:w="2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pPr>
            <w:r>
              <w:rPr/>
              <w:t>our future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200"/>
        <w:gridCol w:w="8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the introduction, withdrawal, success and timing of business initiatives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political, economic or industry conditions, the interest rate environment or financial and capital markets, which could result in changes in the value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00"/>
        <w:gridCol w:w="86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the relative and absolute investment performance and operations of our investment adviser;</w:t>
            </w:r>
          </w:p>
        </w:tc>
      </w:tr>
    </w:tbl>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68"/>
        <w:gridCol w:w="200"/>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pPr>
            <w:r>
              <w:rPr/>
              <w:t>the impact of increased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ability to turn potential investment opportunities into transactions and thereafter into completed and successful investments;</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05"/>
        <w:gridCol w:w="200"/>
        <w:gridCol w:w="56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pPr>
            <w:r>
              <w:rPr/>
              <w:t>the unfavorable resolution of any future legal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and the operational and financial performance of our portfolio companies, including their ability to achieve our respective objectives as a result of the current economic conditions caused by, among other things, elevated levels of inflation, and uncertainty relating to the interest rate environment, and the effects of the disruptions caused thereby on our ability to continue to effectively manage our business;</w:t>
            </w:r>
          </w:p>
          <w:p>
            <w:pPr>
              <w:pStyle w:val="TableContents"/>
              <w:bidi w:val="0"/>
              <w:spacing w:before="0" w:after="0"/>
              <w:ind w:left="0" w:right="0" w:hanging="0"/>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Interest rate volatility, including the uncertainty relating to the interest rate environment, could adversely affect our results, particularly if we elect to use leverage as part of our investment strategy;</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5"/>
        <w:gridCol w:w="200"/>
        <w:gridCol w:w="85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pPr>
            <w:r>
              <w:rPr/>
              <w:t>the impact of investments that we expect to make and future acquisitions and divestitures;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pPr>
            <w:r>
              <w:rPr/>
              <w:t>our contractual arrangements and relationships with third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dependence of our future success on the general economy and its impact on the industries in which we invest;</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105"/>
        <w:gridCol w:w="200"/>
        <w:gridCol w:w="6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pPr>
            <w:r>
              <w:rPr/>
              <w:t>the ability of our portfolio companies to achieve their objectives;</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left"/>
              <w:rPr/>
            </w:pPr>
            <w:r>
              <w:rPr/>
              <w:t>our expected financings and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regulatory structure and tax treatment, including our ability to operate as a BDC, or to operate our SBIC Subsidiaries, and to continue to qualify to be taxed as a RIC;</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
        <w:gridCol w:w="200"/>
        <w:gridCol w:w="5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pPr>
            <w:r>
              <w:rPr/>
              <w:t>the adequacy of our cash resources and working capital;</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pPr>
            <w:r>
              <w:rPr/>
              <w:t>the timing of cash flows, if any, from the operations of our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impact of supply chain constraints and labor difficulties on our portfolio companies and the global economy;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elevated level of inflation, and its impact on our portfolio companies and on the industries in which we invest;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uncertainty associated with the imposition of tariffs and trade barriers and changes in trade policy and its impact on our portfolio companies and the global economy;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impact of geopolitical conditions on our portfolio companies and on the industries in which we invest;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impact of legislative and regulatory actions and reforms and regulatory, supervisory or enforcement actions of government agencies relating to us or our investment adviser;</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05"/>
        <w:gridCol w:w="200"/>
        <w:gridCol w:w="6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pPr>
            <w:r>
              <w:rPr/>
              <w:t>the impact of changes to tax legislation and, generally, our tax position;</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105"/>
        <w:gridCol w:w="200"/>
        <w:gridCol w:w="57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pPr>
            <w:r>
              <w:rPr/>
              <w:t>our ability to access capital and any future financings by us;</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105"/>
        <w:gridCol w:w="200"/>
        <w:gridCol w:w="8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pPr>
            <w:r>
              <w:rPr/>
              <w:t>the ability of our investment adviser to attract and retain highly talented professionals;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ability of our investment adviser to locate suitable investments for us and to monitor and effectively administer our investments.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w:t>
      </w:r>
      <w:hyperlink r:id="rId1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in Part II, Item 1A of our most recent Quarterly Report on </w:t>
      </w:r>
      <w:hyperlink r:id="rId18">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 xml:space="preserve">PRICE RANGE OF COMMON STOCK AND DISTRIBUTIONS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NYSE under the symbol “SAR”. The following table lists the high and low closing sale price for our common stock, and the closing sale price as a percentage of NAV for each fiscal quarter during the last two most recently completed fiscal years and any subsequent interim periods.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413"/>
        <w:gridCol w:w="90"/>
        <w:gridCol w:w="200"/>
        <w:gridCol w:w="697"/>
        <w:gridCol w:w="90"/>
        <w:gridCol w:w="90"/>
        <w:gridCol w:w="191"/>
        <w:gridCol w:w="665"/>
        <w:gridCol w:w="90"/>
        <w:gridCol w:w="90"/>
        <w:gridCol w:w="182"/>
        <w:gridCol w:w="633"/>
        <w:gridCol w:w="90"/>
        <w:gridCol w:w="90"/>
        <w:gridCol w:w="170"/>
        <w:gridCol w:w="1260"/>
        <w:gridCol w:w="298"/>
        <w:gridCol w:w="90"/>
        <w:gridCol w:w="170"/>
        <w:gridCol w:w="1260"/>
        <w:gridCol w:w="346"/>
      </w:tblGrid>
      <w:tr>
        <w:trPr/>
        <w:tc>
          <w:tcPr>
            <w:tcW w:w="3413" w:type="dxa"/>
            <w:tcBorders>
              <w:bottom w:val="single" w:sz="12" w:space="0" w:color="000000"/>
            </w:tcBorders>
            <w:vAlign w:val="center"/>
          </w:tcPr>
          <w:p>
            <w:pPr>
              <w:pStyle w:val="TableContents"/>
              <w:bidi w:val="0"/>
              <w:spacing w:before="0" w:after="283"/>
              <w:jc w:val="left"/>
              <w:rPr>
                <w:b/>
              </w:rPr>
            </w:pPr>
            <w:r>
              <w:rPr>
                <w:b/>
              </w:rPr>
              <w:t>Period</w:t>
            </w:r>
          </w:p>
        </w:tc>
        <w:tc>
          <w:tcPr>
            <w:tcW w:w="90" w:type="dxa"/>
            <w:tcBorders/>
            <w:tcMar>
              <w:bottom w:w="0" w:type="dxa"/>
            </w:tcMar>
            <w:vAlign w:val="center"/>
          </w:tcPr>
          <w:p>
            <w:pPr>
              <w:pStyle w:val="TableContents"/>
              <w:bidi w:val="0"/>
              <w:spacing w:before="0" w:after="283"/>
              <w:jc w:val="left"/>
              <w:rPr/>
            </w:pPr>
            <w:r>
              <w:rPr/>
              <w:t> </w:t>
            </w:r>
          </w:p>
        </w:tc>
        <w:tc>
          <w:tcPr>
            <w:tcW w:w="897" w:type="dxa"/>
            <w:gridSpan w:val="2"/>
            <w:tcBorders>
              <w:bottom w:val="single" w:sz="12" w:space="0" w:color="000000"/>
            </w:tcBorders>
            <w:vAlign w:val="center"/>
          </w:tcPr>
          <w:p>
            <w:pPr>
              <w:pStyle w:val="TableContents"/>
              <w:bidi w:val="0"/>
              <w:spacing w:before="0" w:after="283"/>
              <w:jc w:val="center"/>
              <w:rPr>
                <w:b/>
              </w:rPr>
            </w:pPr>
            <w:r>
              <w:rPr>
                <w:b/>
              </w:rPr>
              <w:t>NAV (1)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56" w:type="dxa"/>
            <w:gridSpan w:val="2"/>
            <w:tcBorders>
              <w:bottom w:val="single" w:sz="12" w:space="0" w:color="000000"/>
            </w:tcBorders>
            <w:vAlign w:val="center"/>
          </w:tcPr>
          <w:p>
            <w:pPr>
              <w:pStyle w:val="TableContents"/>
              <w:bidi w:val="0"/>
              <w:spacing w:before="0" w:after="283"/>
              <w:jc w:val="center"/>
              <w:rPr>
                <w:b/>
              </w:rPr>
            </w:pPr>
            <w:r>
              <w:rPr>
                <w:b/>
              </w:rPr>
              <w:t>High</w:t>
              <w:br/>
              <w:t xml:space="preserve">Closing </w:t>
              <w:br/>
              <w:t xml:space="preserve">Sales </w:t>
              <w:br/>
              <w:t>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Low</w:t>
              <w:br/>
              <w:t>Closing</w:t>
              <w:br/>
              <w:t>Sales</w:t>
              <w:br/>
              <w:t>Price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b/>
              </w:rPr>
            </w:pPr>
            <w:r>
              <w:rPr>
                <w:b/>
              </w:rPr>
              <w:t>Premium /</w:t>
              <w:br/>
              <w:t>(Discount) of</w:t>
              <w:br/>
              <w:t>High Sales</w:t>
              <w:br/>
              <w:t>Price to NAV</w:t>
              <w:br/>
              <w:t>(2)</w:t>
            </w:r>
          </w:p>
        </w:tc>
        <w:tc>
          <w:tcPr>
            <w:tcW w:w="29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b/>
              </w:rPr>
            </w:pPr>
            <w:r>
              <w:rPr>
                <w:b/>
              </w:rPr>
              <w:t>Premium /</w:t>
              <w:br/>
              <w:t>(Discount) of</w:t>
              <w:br/>
              <w:t>Low Sales</w:t>
              <w:br/>
              <w:t>Price to NAV</w:t>
              <w:br/>
              <w:t>(2)</w:t>
            </w:r>
          </w:p>
        </w:tc>
        <w:tc>
          <w:tcPr>
            <w:tcW w:w="346" w:type="dxa"/>
            <w:tcBorders/>
            <w:tcMar>
              <w:bottom w:w="0" w:type="dxa"/>
            </w:tcMar>
            <w:vAlign w:val="center"/>
          </w:tcPr>
          <w:p>
            <w:pPr>
              <w:pStyle w:val="TableContents"/>
              <w:bidi w:val="0"/>
              <w:spacing w:before="0" w:after="283"/>
              <w:jc w:val="left"/>
              <w:rPr/>
            </w:pPr>
            <w:r>
              <w:rPr/>
              <w:t> </w:t>
            </w:r>
          </w:p>
        </w:tc>
      </w:tr>
      <w:tr>
        <w:trPr/>
        <w:tc>
          <w:tcPr>
            <w:tcW w:w="3413" w:type="dxa"/>
            <w:tcBorders/>
            <w:tcMar>
              <w:bottom w:w="0" w:type="dxa"/>
            </w:tcMar>
            <w:vAlign w:val="center"/>
          </w:tcPr>
          <w:p>
            <w:pPr>
              <w:pStyle w:val="TableContents"/>
              <w:bidi w:val="0"/>
              <w:spacing w:before="0" w:after="283"/>
              <w:jc w:val="left"/>
              <w:rPr>
                <w:b/>
                <w:i/>
              </w:rPr>
            </w:pPr>
            <w:r>
              <w:rPr>
                <w:b/>
                <w:i/>
              </w:rPr>
              <w:t>Year ending February 28, 2026</w:t>
            </w:r>
          </w:p>
        </w:tc>
        <w:tc>
          <w:tcPr>
            <w:tcW w:w="90" w:type="dxa"/>
            <w:tcBorders/>
            <w:tcMar>
              <w:bottom w:w="0" w:type="dxa"/>
            </w:tcMar>
            <w:vAlign w:val="center"/>
          </w:tcPr>
          <w:p>
            <w:pPr>
              <w:pStyle w:val="TableContents"/>
              <w:bidi w:val="0"/>
              <w:spacing w:before="0" w:after="283"/>
              <w:jc w:val="left"/>
              <w:rPr/>
            </w:pPr>
            <w:r>
              <w:rPr/>
              <w:t> </w:t>
            </w:r>
          </w:p>
        </w:tc>
        <w:tc>
          <w:tcPr>
            <w:tcW w:w="897"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56"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tcMar>
              <w:bottom w:w="0" w:type="dxa"/>
            </w:tcMar>
            <w:vAlign w:val="center"/>
          </w:tcPr>
          <w:p>
            <w:pPr>
              <w:pStyle w:val="TableContents"/>
              <w:bidi w:val="0"/>
              <w:spacing w:before="0" w:after="283"/>
              <w:jc w:val="left"/>
              <w:rPr/>
            </w:pPr>
            <w:r>
              <w:rPr/>
              <w:t> </w:t>
            </w:r>
          </w:p>
        </w:tc>
        <w:tc>
          <w:tcPr>
            <w:tcW w:w="29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tcMar>
              <w:bottom w:w="0" w:type="dxa"/>
            </w:tcMar>
            <w:vAlign w:val="center"/>
          </w:tcPr>
          <w:p>
            <w:pPr>
              <w:pStyle w:val="TableContents"/>
              <w:bidi w:val="0"/>
              <w:spacing w:before="0" w:after="283"/>
              <w:jc w:val="left"/>
              <w:rPr/>
            </w:pPr>
            <w:r>
              <w:rPr/>
              <w:t> </w:t>
            </w:r>
          </w:p>
        </w:tc>
        <w:tc>
          <w:tcPr>
            <w:tcW w:w="346" w:type="dxa"/>
            <w:tcBorders/>
            <w:tcMar>
              <w:bottom w:w="0" w:type="dxa"/>
            </w:tcMar>
            <w:vAlign w:val="center"/>
          </w:tcPr>
          <w:p>
            <w:pPr>
              <w:pStyle w:val="TableContents"/>
              <w:bidi w:val="0"/>
              <w:spacing w:before="0" w:after="283"/>
              <w:jc w:val="left"/>
              <w:rPr/>
            </w:pPr>
            <w:r>
              <w:rPr/>
              <w:t> </w:t>
            </w:r>
          </w:p>
        </w:tc>
      </w:tr>
      <w:tr>
        <w:trPr/>
        <w:tc>
          <w:tcPr>
            <w:tcW w:w="3413" w:type="dxa"/>
            <w:tcBorders/>
            <w:shd w:fill="CCEEFF" w:val="clear"/>
            <w:tcMar>
              <w:bottom w:w="0" w:type="dxa"/>
            </w:tcMar>
            <w:vAlign w:val="center"/>
          </w:tcPr>
          <w:p>
            <w:pPr>
              <w:pStyle w:val="TableContents"/>
              <w:bidi w:val="0"/>
              <w:spacing w:before="0" w:after="283"/>
              <w:jc w:val="left"/>
              <w:rPr/>
            </w:pPr>
            <w:r>
              <w:rPr/>
              <w:t>First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97" w:type="dxa"/>
            <w:tcBorders/>
            <w:shd w:fill="CCEEFF" w:val="clear"/>
            <w:tcMar>
              <w:bottom w:w="0" w:type="dxa"/>
            </w:tcMar>
            <w:vAlign w:val="center"/>
          </w:tcPr>
          <w:p>
            <w:pPr>
              <w:pStyle w:val="TableContents"/>
              <w:bidi w:val="0"/>
              <w:spacing w:before="0" w:after="283"/>
              <w:jc w:val="right"/>
              <w:rPr/>
            </w:pPr>
            <w:r>
              <w:rPr/>
              <w:t>25.52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jc w:val="right"/>
              <w:rPr/>
            </w:pPr>
            <w:r>
              <w:rPr/>
              <w:t>25.79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633" w:type="dxa"/>
            <w:tcBorders/>
            <w:shd w:fill="CCEEFF" w:val="clear"/>
            <w:tcMar>
              <w:bottom w:w="0" w:type="dxa"/>
            </w:tcMar>
            <w:vAlign w:val="center"/>
          </w:tcPr>
          <w:p>
            <w:pPr>
              <w:pStyle w:val="TableContents"/>
              <w:bidi w:val="0"/>
              <w:spacing w:before="0" w:after="283"/>
              <w:jc w:val="right"/>
              <w:rPr/>
            </w:pPr>
            <w:r>
              <w:rPr/>
              <w:t>21.46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1.06</w:t>
            </w:r>
          </w:p>
        </w:tc>
        <w:tc>
          <w:tcPr>
            <w:tcW w:w="298"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(15.91</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pPr>
            <w:r>
              <w:rPr/>
              <w:t>Second Quarter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25.61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25.54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24.08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(0.27</w:t>
            </w:r>
          </w:p>
        </w:tc>
        <w:tc>
          <w:tcPr>
            <w:tcW w:w="298"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(5.97</w:t>
            </w:r>
          </w:p>
        </w:tc>
        <w:tc>
          <w:tcPr>
            <w:tcW w:w="346" w:type="dxa"/>
            <w:tcBorders/>
            <w:shd w:fill="FFFFFF" w:val="clear"/>
            <w:tcMar>
              <w:bottom w:w="0" w:type="dxa"/>
            </w:tcMar>
            <w:vAlign w:val="center"/>
          </w:tcPr>
          <w:p>
            <w:pPr>
              <w:pStyle w:val="TableContents"/>
              <w:bidi w:val="0"/>
              <w:spacing w:before="0" w:after="283"/>
              <w:jc w:val="left"/>
              <w:rPr/>
            </w:pPr>
            <w:r>
              <w:rPr/>
              <w:t>)</w:t>
            </w:r>
          </w:p>
        </w:tc>
      </w:tr>
      <w:tr>
        <w:trPr/>
        <w:tc>
          <w:tcPr>
            <w:tcW w:w="3413" w:type="dxa"/>
            <w:tcBorders/>
            <w:shd w:fill="CCEEFF" w:val="clear"/>
            <w:tcMar>
              <w:bottom w:w="0" w:type="dxa"/>
            </w:tcMar>
            <w:vAlign w:val="center"/>
          </w:tcPr>
          <w:p>
            <w:pPr>
              <w:pStyle w:val="TableContents"/>
              <w:bidi w:val="0"/>
              <w:spacing w:before="0" w:after="283"/>
              <w:jc w:val="left"/>
              <w:rPr/>
            </w:pPr>
            <w:r>
              <w:rPr/>
              <w:t>Third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25.59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25.55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21.56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(0.16</w:t>
            </w:r>
          </w:p>
        </w:tc>
        <w:tc>
          <w:tcPr>
            <w:tcW w:w="298"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(15.75</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pPr>
            <w:r>
              <w:rPr/>
              <w:t>Fourth Quarter (through January 14, 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23.55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22.44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w:t>
            </w:r>
          </w:p>
        </w:tc>
        <w:tc>
          <w:tcPr>
            <w:tcW w:w="29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w:t>
            </w:r>
          </w:p>
        </w:tc>
        <w:tc>
          <w:tcPr>
            <w:tcW w:w="346" w:type="dxa"/>
            <w:tcBorders/>
            <w:shd w:fill="FFFFFF" w:val="clear"/>
            <w:tcMar>
              <w:bottom w:w="0" w:type="dxa"/>
            </w:tcMar>
            <w:vAlign w:val="center"/>
          </w:tcPr>
          <w:p>
            <w:pPr>
              <w:pStyle w:val="TableContents"/>
              <w:bidi w:val="0"/>
              <w:spacing w:before="0" w:after="283"/>
              <w:jc w:val="left"/>
              <w:rPr/>
            </w:pPr>
            <w:r>
              <w:rPr/>
              <w:t> </w:t>
            </w:r>
          </w:p>
        </w:tc>
      </w:tr>
      <w:tr>
        <w:trPr/>
        <w:tc>
          <w:tcPr>
            <w:tcW w:w="3413" w:type="dxa"/>
            <w:tcBorders/>
            <w:shd w:fill="CCEEFF" w:val="clear"/>
            <w:tcMar>
              <w:bottom w:w="0" w:type="dxa"/>
            </w:tcMar>
            <w:vAlign w:val="center"/>
          </w:tcPr>
          <w:p>
            <w:pPr>
              <w:pStyle w:val="TableContents"/>
              <w:bidi w:val="0"/>
              <w:spacing w:before="0" w:after="283"/>
              <w:jc w:val="left"/>
              <w:rPr>
                <w:b/>
                <w:i/>
              </w:rPr>
            </w:pPr>
            <w:r>
              <w:rPr>
                <w:b/>
                <w:i/>
              </w:rPr>
              <w:t>Year ended February 28,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29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r>
      <w:tr>
        <w:trPr/>
        <w:tc>
          <w:tcPr>
            <w:tcW w:w="3413" w:type="dxa"/>
            <w:tcBorders/>
            <w:shd w:fill="FFFFFF" w:val="clear"/>
            <w:tcMar>
              <w:bottom w:w="0" w:type="dxa"/>
            </w:tcMar>
            <w:vAlign w:val="center"/>
          </w:tcPr>
          <w:p>
            <w:pPr>
              <w:pStyle w:val="TableContents"/>
              <w:bidi w:val="0"/>
              <w:spacing w:before="0" w:after="283"/>
              <w:jc w:val="left"/>
              <w:rPr/>
            </w:pPr>
            <w:r>
              <w:rPr/>
              <w:t>First Quarter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697" w:type="dxa"/>
            <w:tcBorders/>
            <w:shd w:fill="FFFFFF" w:val="clear"/>
            <w:tcMar>
              <w:bottom w:w="0" w:type="dxa"/>
            </w:tcMar>
            <w:vAlign w:val="center"/>
          </w:tcPr>
          <w:p>
            <w:pPr>
              <w:pStyle w:val="TableContents"/>
              <w:bidi w:val="0"/>
              <w:spacing w:before="0" w:after="283"/>
              <w:jc w:val="right"/>
              <w:rPr/>
            </w:pPr>
            <w:r>
              <w:rPr/>
              <w:t>26.85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w:t>
            </w:r>
          </w:p>
        </w:tc>
        <w:tc>
          <w:tcPr>
            <w:tcW w:w="665" w:type="dxa"/>
            <w:tcBorders/>
            <w:shd w:fill="FFFFFF" w:val="clear"/>
            <w:tcMar>
              <w:bottom w:w="0" w:type="dxa"/>
            </w:tcMar>
            <w:vAlign w:val="center"/>
          </w:tcPr>
          <w:p>
            <w:pPr>
              <w:pStyle w:val="TableContents"/>
              <w:bidi w:val="0"/>
              <w:spacing w:before="0" w:after="283"/>
              <w:jc w:val="right"/>
              <w:rPr/>
            </w:pPr>
            <w:r>
              <w:rPr/>
              <w:t>24.09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w:t>
            </w:r>
          </w:p>
        </w:tc>
        <w:tc>
          <w:tcPr>
            <w:tcW w:w="633" w:type="dxa"/>
            <w:tcBorders/>
            <w:shd w:fill="FFFFFF" w:val="clear"/>
            <w:tcMar>
              <w:bottom w:w="0" w:type="dxa"/>
            </w:tcMar>
            <w:vAlign w:val="center"/>
          </w:tcPr>
          <w:p>
            <w:pPr>
              <w:pStyle w:val="TableContents"/>
              <w:bidi w:val="0"/>
              <w:spacing w:before="0" w:after="283"/>
              <w:jc w:val="right"/>
              <w:rPr/>
            </w:pPr>
            <w:r>
              <w:rPr/>
              <w:t>22.52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(10.28</w:t>
            </w:r>
          </w:p>
        </w:tc>
        <w:tc>
          <w:tcPr>
            <w:tcW w:w="298"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(16.13</w:t>
            </w:r>
          </w:p>
        </w:tc>
        <w:tc>
          <w:tcPr>
            <w:tcW w:w="346" w:type="dxa"/>
            <w:tcBorders/>
            <w:shd w:fill="FFFFFF" w:val="clear"/>
            <w:tcMar>
              <w:bottom w:w="0" w:type="dxa"/>
            </w:tcMar>
            <w:vAlign w:val="center"/>
          </w:tcPr>
          <w:p>
            <w:pPr>
              <w:pStyle w:val="TableContents"/>
              <w:bidi w:val="0"/>
              <w:spacing w:before="0" w:after="283"/>
              <w:jc w:val="left"/>
              <w:rPr/>
            </w:pPr>
            <w:r>
              <w:rPr/>
              <w:t>)%</w:t>
            </w:r>
          </w:p>
        </w:tc>
      </w:tr>
      <w:tr>
        <w:trPr/>
        <w:tc>
          <w:tcPr>
            <w:tcW w:w="3413" w:type="dxa"/>
            <w:tcBorders/>
            <w:shd w:fill="CCEEFF" w:val="clear"/>
            <w:tcMar>
              <w:bottom w:w="0" w:type="dxa"/>
            </w:tcMar>
            <w:vAlign w:val="center"/>
          </w:tcPr>
          <w:p>
            <w:pPr>
              <w:pStyle w:val="TableContents"/>
              <w:bidi w:val="0"/>
              <w:spacing w:before="0" w:after="283"/>
              <w:jc w:val="left"/>
              <w:rPr/>
            </w:pPr>
            <w:r>
              <w:rPr/>
              <w:t>Second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27.07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21.91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(9.79</w:t>
            </w:r>
          </w:p>
        </w:tc>
        <w:tc>
          <w:tcPr>
            <w:tcW w:w="298"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(19.06</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pPr>
            <w:r>
              <w:rPr/>
              <w:t>Third Quarter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26.95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26.07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22.95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(3.27</w:t>
            </w:r>
          </w:p>
        </w:tc>
        <w:tc>
          <w:tcPr>
            <w:tcW w:w="298"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(14.84</w:t>
            </w:r>
          </w:p>
        </w:tc>
        <w:tc>
          <w:tcPr>
            <w:tcW w:w="346" w:type="dxa"/>
            <w:tcBorders/>
            <w:shd w:fill="FFFFFF" w:val="clear"/>
            <w:tcMar>
              <w:bottom w:w="0" w:type="dxa"/>
            </w:tcMar>
            <w:vAlign w:val="center"/>
          </w:tcPr>
          <w:p>
            <w:pPr>
              <w:pStyle w:val="TableContents"/>
              <w:bidi w:val="0"/>
              <w:spacing w:before="0" w:after="283"/>
              <w:jc w:val="left"/>
              <w:rPr/>
            </w:pPr>
            <w:r>
              <w:rPr/>
              <w:t>)</w:t>
            </w:r>
          </w:p>
        </w:tc>
      </w:tr>
      <w:tr>
        <w:trPr/>
        <w:tc>
          <w:tcPr>
            <w:tcW w:w="3413" w:type="dxa"/>
            <w:tcBorders/>
            <w:shd w:fill="CCEEFF" w:val="clear"/>
            <w:tcMar>
              <w:bottom w:w="0" w:type="dxa"/>
            </w:tcMar>
            <w:vAlign w:val="center"/>
          </w:tcPr>
          <w:p>
            <w:pPr>
              <w:pStyle w:val="TableContents"/>
              <w:bidi w:val="0"/>
              <w:spacing w:before="0" w:after="283"/>
              <w:jc w:val="left"/>
              <w:rPr/>
            </w:pPr>
            <w:r>
              <w:rPr/>
              <w:t>Fourth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25.86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23.52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0.54</w:t>
            </w:r>
          </w:p>
        </w:tc>
        <w:tc>
          <w:tcPr>
            <w:tcW w:w="298"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(9.05</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b/>
                <w:i/>
              </w:rPr>
            </w:pPr>
            <w:r>
              <w:rPr>
                <w:b/>
                <w:i/>
              </w:rPr>
              <w:t>Year ended February 29, 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 </w:t>
            </w:r>
          </w:p>
        </w:tc>
        <w:tc>
          <w:tcPr>
            <w:tcW w:w="29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r>
      <w:tr>
        <w:trPr/>
        <w:tc>
          <w:tcPr>
            <w:tcW w:w="3413" w:type="dxa"/>
            <w:tcBorders/>
            <w:shd w:fill="CCEEFF" w:val="clear"/>
            <w:tcMar>
              <w:bottom w:w="0" w:type="dxa"/>
            </w:tcMar>
            <w:vAlign w:val="center"/>
          </w:tcPr>
          <w:p>
            <w:pPr>
              <w:pStyle w:val="TableContents"/>
              <w:bidi w:val="0"/>
              <w:spacing w:before="0" w:after="283"/>
              <w:jc w:val="left"/>
              <w:rPr/>
            </w:pPr>
            <w:r>
              <w:rPr/>
              <w:t>First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697" w:type="dxa"/>
            <w:tcBorders/>
            <w:shd w:fill="CCEEFF" w:val="clear"/>
            <w:tcMar>
              <w:bottom w:w="0" w:type="dxa"/>
            </w:tcMar>
            <w:vAlign w:val="center"/>
          </w:tcPr>
          <w:p>
            <w:pPr>
              <w:pStyle w:val="TableContents"/>
              <w:bidi w:val="0"/>
              <w:spacing w:before="0" w:after="283"/>
              <w:jc w:val="right"/>
              <w:rPr/>
            </w:pPr>
            <w:r>
              <w:rPr/>
              <w:t>28.48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jc w:val="right"/>
              <w:rPr/>
            </w:pPr>
            <w:r>
              <w:rPr/>
              <w:t>28.10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633" w:type="dxa"/>
            <w:tcBorders/>
            <w:shd w:fill="CCEEFF" w:val="clear"/>
            <w:tcMar>
              <w:bottom w:w="0" w:type="dxa"/>
            </w:tcMar>
            <w:vAlign w:val="center"/>
          </w:tcPr>
          <w:p>
            <w:pPr>
              <w:pStyle w:val="TableContents"/>
              <w:bidi w:val="0"/>
              <w:spacing w:before="0" w:after="283"/>
              <w:jc w:val="right"/>
              <w:rPr/>
            </w:pPr>
            <w:r>
              <w:rPr/>
              <w:t>22.82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(1.33</w:t>
            </w:r>
          </w:p>
        </w:tc>
        <w:tc>
          <w:tcPr>
            <w:tcW w:w="298"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(19.87</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pPr>
            <w:r>
              <w:rPr/>
              <w:t>Second Quarter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28.44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28.64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25.70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0.70</w:t>
            </w:r>
          </w:p>
        </w:tc>
        <w:tc>
          <w:tcPr>
            <w:tcW w:w="298"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(9.63</w:t>
            </w:r>
          </w:p>
        </w:tc>
        <w:tc>
          <w:tcPr>
            <w:tcW w:w="346" w:type="dxa"/>
            <w:tcBorders/>
            <w:shd w:fill="FFFFFF" w:val="clear"/>
            <w:tcMar>
              <w:bottom w:w="0" w:type="dxa"/>
            </w:tcMar>
            <w:vAlign w:val="center"/>
          </w:tcPr>
          <w:p>
            <w:pPr>
              <w:pStyle w:val="TableContents"/>
              <w:bidi w:val="0"/>
              <w:spacing w:before="0" w:after="283"/>
              <w:jc w:val="left"/>
              <w:rPr/>
            </w:pPr>
            <w:r>
              <w:rPr/>
              <w:t>)</w:t>
            </w:r>
          </w:p>
        </w:tc>
      </w:tr>
      <w:tr>
        <w:trPr/>
        <w:tc>
          <w:tcPr>
            <w:tcW w:w="3413" w:type="dxa"/>
            <w:tcBorders/>
            <w:shd w:fill="CCEEFF" w:val="clear"/>
            <w:tcMar>
              <w:bottom w:w="0" w:type="dxa"/>
            </w:tcMar>
            <w:vAlign w:val="center"/>
          </w:tcPr>
          <w:p>
            <w:pPr>
              <w:pStyle w:val="TableContents"/>
              <w:bidi w:val="0"/>
              <w:spacing w:before="0" w:after="283"/>
              <w:jc w:val="left"/>
              <w:rPr/>
            </w:pPr>
            <w:r>
              <w:rPr/>
              <w:t>Third Quarter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27.42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26.60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633" w:type="dxa"/>
            <w:tcBorders/>
            <w:shd w:fill="CCEEFF" w:val="clear"/>
            <w:tcMar>
              <w:bottom w:w="0" w:type="dxa"/>
            </w:tcMar>
            <w:vAlign w:val="center"/>
          </w:tcPr>
          <w:p>
            <w:pPr>
              <w:pStyle w:val="TableContents"/>
              <w:bidi w:val="0"/>
              <w:spacing w:before="0" w:after="283"/>
              <w:jc w:val="right"/>
              <w:rPr/>
            </w:pPr>
            <w:r>
              <w:rPr/>
              <w:t>23.05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(2.99</w:t>
            </w:r>
          </w:p>
        </w:tc>
        <w:tc>
          <w:tcPr>
            <w:tcW w:w="298"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60" w:type="dxa"/>
            <w:tcBorders/>
            <w:shd w:fill="CCEEFF" w:val="clear"/>
            <w:tcMar>
              <w:bottom w:w="0" w:type="dxa"/>
            </w:tcMar>
            <w:vAlign w:val="center"/>
          </w:tcPr>
          <w:p>
            <w:pPr>
              <w:pStyle w:val="TableContents"/>
              <w:bidi w:val="0"/>
              <w:spacing w:before="0" w:after="283"/>
              <w:jc w:val="right"/>
              <w:rPr/>
            </w:pPr>
            <w:r>
              <w:rPr/>
              <w:t>(15.94</w:t>
            </w:r>
          </w:p>
        </w:tc>
        <w:tc>
          <w:tcPr>
            <w:tcW w:w="346" w:type="dxa"/>
            <w:tcBorders/>
            <w:shd w:fill="CCEEFF" w:val="clear"/>
            <w:tcMar>
              <w:bottom w:w="0" w:type="dxa"/>
            </w:tcMar>
            <w:vAlign w:val="center"/>
          </w:tcPr>
          <w:p>
            <w:pPr>
              <w:pStyle w:val="TableContents"/>
              <w:bidi w:val="0"/>
              <w:spacing w:before="0" w:after="283"/>
              <w:jc w:val="left"/>
              <w:rPr/>
            </w:pPr>
            <w:r>
              <w:rPr/>
              <w:t>)</w:t>
            </w:r>
          </w:p>
        </w:tc>
      </w:tr>
      <w:tr>
        <w:trPr/>
        <w:tc>
          <w:tcPr>
            <w:tcW w:w="3413" w:type="dxa"/>
            <w:tcBorders/>
            <w:shd w:fill="FFFFFF" w:val="clear"/>
            <w:tcMar>
              <w:bottom w:w="0" w:type="dxa"/>
            </w:tcMar>
            <w:vAlign w:val="center"/>
          </w:tcPr>
          <w:p>
            <w:pPr>
              <w:pStyle w:val="TableContents"/>
              <w:bidi w:val="0"/>
              <w:spacing w:before="0" w:after="283"/>
              <w:jc w:val="left"/>
              <w:rPr/>
            </w:pPr>
            <w:r>
              <w:rPr/>
              <w:t>Fourth Quarter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pPr>
            <w:r>
              <w:rPr/>
              <w:t>27.12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1"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26.73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633" w:type="dxa"/>
            <w:tcBorders/>
            <w:shd w:fill="FFFFFF" w:val="clear"/>
            <w:tcMar>
              <w:bottom w:w="0" w:type="dxa"/>
            </w:tcMar>
            <w:vAlign w:val="center"/>
          </w:tcPr>
          <w:p>
            <w:pPr>
              <w:pStyle w:val="TableContents"/>
              <w:bidi w:val="0"/>
              <w:spacing w:before="0" w:after="283"/>
              <w:jc w:val="right"/>
              <w:rPr/>
            </w:pPr>
            <w:r>
              <w:rPr/>
              <w:t>22.77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(1.44</w:t>
            </w:r>
          </w:p>
        </w:tc>
        <w:tc>
          <w:tcPr>
            <w:tcW w:w="298"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60" w:type="dxa"/>
            <w:tcBorders/>
            <w:shd w:fill="FFFFFF" w:val="clear"/>
            <w:tcMar>
              <w:bottom w:w="0" w:type="dxa"/>
            </w:tcMar>
            <w:vAlign w:val="center"/>
          </w:tcPr>
          <w:p>
            <w:pPr>
              <w:pStyle w:val="TableContents"/>
              <w:bidi w:val="0"/>
              <w:spacing w:before="0" w:after="283"/>
              <w:jc w:val="right"/>
              <w:rPr/>
            </w:pPr>
            <w:r>
              <w:rPr/>
              <w:t>(16.04</w:t>
            </w:r>
          </w:p>
        </w:tc>
        <w:tc>
          <w:tcPr>
            <w:tcW w:w="346" w:type="dxa"/>
            <w:tcBorders/>
            <w:shd w:fill="FFFFFF" w:val="clear"/>
            <w:tcMar>
              <w:bottom w:w="0" w:type="dxa"/>
            </w:tcMar>
            <w:vAlign w:val="center"/>
          </w:tcPr>
          <w:p>
            <w:pPr>
              <w:pStyle w:val="TableContents"/>
              <w:bidi w:val="0"/>
              <w:spacing w:before="0" w:after="283"/>
              <w:jc w:val="left"/>
              <w:rPr/>
            </w:pPr>
            <w:r>
              <w:rPr/>
              <w:t>)</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85"/>
        <w:gridCol w:w="3395"/>
      </w:tblGrid>
      <w:tr>
        <w:trPr/>
        <w:tc>
          <w:tcPr>
            <w:tcW w:w="185"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NAV has not yet been determined.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90"/>
        <w:gridCol w:w="9915"/>
      </w:tblGrid>
      <w:tr>
        <w:trPr/>
        <w:tc>
          <w:tcPr>
            <w:tcW w:w="290" w:type="dxa"/>
            <w:tcBorders/>
            <w:shd w:fill="FFFFFF" w:val="clear"/>
            <w:vAlign w:val="center"/>
          </w:tcPr>
          <w:p>
            <w:pPr>
              <w:pStyle w:val="TableContents"/>
              <w:bidi w:val="0"/>
              <w:spacing w:before="0" w:after="283"/>
              <w:jc w:val="both"/>
              <w:rPr/>
            </w:pPr>
            <w:r>
              <w:rPr/>
              <w:t>(1)</w:t>
            </w:r>
          </w:p>
        </w:tc>
        <w:tc>
          <w:tcPr>
            <w:tcW w:w="9915" w:type="dxa"/>
            <w:tcBorders/>
            <w:shd w:fill="FFFFFF" w:val="clear"/>
            <w:vAlign w:val="center"/>
          </w:tcPr>
          <w:p>
            <w:pPr>
              <w:pStyle w:val="TableContents"/>
              <w:bidi w:val="0"/>
              <w:spacing w:before="0" w:after="283"/>
              <w:jc w:val="both"/>
              <w:rPr/>
            </w:pPr>
            <w:r>
              <w:rPr/>
              <w:t>NAV per share is determined as of the last day in the relevant quarter and therefore may not reflect the NAV per share on the date of the high and low sales prices. The NAVs shown are based on outstanding shares at the end of each period.</w:t>
            </w:r>
          </w:p>
        </w:tc>
      </w:tr>
      <w:tr>
        <w:trPr/>
        <w:tc>
          <w:tcPr>
            <w:tcW w:w="290" w:type="dxa"/>
            <w:tcBorders/>
            <w:shd w:fill="FFFFFF" w:val="clear"/>
            <w:vAlign w:val="center"/>
          </w:tcPr>
          <w:p>
            <w:pPr>
              <w:pStyle w:val="TableContents"/>
              <w:bidi w:val="0"/>
              <w:spacing w:before="0" w:after="283"/>
              <w:jc w:val="both"/>
              <w:rPr/>
            </w:pPr>
            <w:r>
              <w:rPr/>
              <w:t>(2)</w:t>
            </w:r>
          </w:p>
        </w:tc>
        <w:tc>
          <w:tcPr>
            <w:tcW w:w="9915" w:type="dxa"/>
            <w:tcBorders/>
            <w:shd w:fill="FFFFFF" w:val="clear"/>
            <w:vAlign w:val="center"/>
          </w:tcPr>
          <w:p>
            <w:pPr>
              <w:pStyle w:val="TableContents"/>
              <w:bidi w:val="0"/>
              <w:spacing w:before="0" w:after="283"/>
              <w:jc w:val="both"/>
              <w:rPr/>
            </w:pPr>
            <w:r>
              <w:rPr/>
              <w:t>Calculated as the respective high or low closing sales price divided by the quarter end NAV and subtracting 1.</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2026, the last reported sales price of our common stock was $23.43 per share. As of January 15, 2026, we had approximately 11 stockholders of record.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BDCs may trade at a market price that is less than the NAV of those shares. The possibilities that our shares of common stock will trade at a discount from NAV or at premiums that are unsustainable over the long term are separate and distinct from the risk that our NAV will decrease. It is not possible to predict whether any common stock offered pursuant to this prospectus supplement will trade at, above, or below NAV. As of January 14, 2026, our shares of common stock traded at a discount equal to approximately (8.44)% of the net assets attributable to those shares based upon our NAV per share of $25.59 as of November 30, 2025. It is not possible to predict whether the shares offered hereby will trade at, above, or below NAV.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 xml:space="preserve">DIVIDEND REINVESTMENT PLAN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dividend reinvestment plan (the “Plan”) that provides that, unless you elect to receive your dividends or other distributions in cash, they will be automatically reinvested by the Plan Administrator, Broadridge Financial Solutions, Inc., in additional shares of our common stock. If you elect to receive your dividends or other distributions in cash, you will receive them in cash paid by check mailed directly to you by the Plan Administrator. The reinvestment of our distributions does not relieve stockholders of any tax that may be payable on such distributions. For U.S. federal income tax purposes, stockholders generally will be treated as receiving income in an amount equal to the value of the shares distributed by us, which generally will be equal to the amount of the cash distribution the stockholder would have received if the stockholder had elected to receive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required on the part of a registered stockholder to have their cash dividend reinvested in shares of our common stock. When the share price of our common stock is trading above NAV, we intend to primarily use newly issued shares to implement the plan. However, we reserve the right to purchase shares in the open market in connection with our implementation of the plan even if the share price of our common stock is trading below NAV. Unless you or your brokerage firm decides to opt out of the Plan, the number of shares of common stock you will receive will be determined as follows:</w:t>
      </w:r>
    </w:p>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we use newly issued shares under the Plan, we will issue the new shares at a price equal to 95% of the average of the market prices of our common stock at the close of trading on the ten trading days immediately preceding and ending on the date fixed by our board of directors for the payment of the dividend.</w:t>
      </w:r>
    </w:p>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we use shares purchased in the open market under the Plan, the Plan Administrator will receive the dividend or distribution in cash and will purchase common stock in the open market, on the NYSE or elsewhere, for the participants’ accounts. Shares purchased in the open market will be allocated to a participant based on the average purchase price, excluding any brokerage charges or other charges, of all shares purchased with respect to the dividend.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withdraw from the Plan at any time by giving written notice to the Plan Administrator, or by telephone in accordance with such reasonable requirements as we and the Plan Administrator may agree upon. If you withdraw or the Plan is terminated, you will receive a certificate for each whole share in your account under the Plan and you will receive a cash payment for any fraction of a share in your account. If you wish, the Plan Administrator will sell your shares and send you the proceeds, minus brokerage commissions.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maintains all common stockholders’ accounts in the Plan and gives written confirmation of all transactions in the accounts, including information you may need for tax records. Common stock in your account will be held by the Plan Administrator in non-certificated form. The Plan Administrator will forward to each participant any proxy solicitation material and will vote any shares so held only in accordance with proxies returned to us. Any proxy you receive will include all common stock you have received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brokerage charge for reinvestment of your dividends or distributions in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Automatically reinvesting dividends and distributions does not mean that you do not have to pay U.S. federal income taxes due upon the reinvestment of such dividends and distributions. See “Certain U.S. Federal Income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common stock with a brokerage firm that does not participate in the Plan, you will not be able to participate in the Plan and any dividend reinvestment may be effected on different terms than those described above. Consult your financial advisory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us nor the Plan Administrator nor its nominee or nominees shall be liable for any act done in good faith, or for any good faith omission to act, including without limitation, any claims of liability arising out of failure to terminate a participant’s account upon the participant’s death prior to receipt of notice in writing of such death, and with respect to the price at which shares are purchased or sold for the participant’s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Administrator’s fees under the Plan will be borne by us. There is no direct service charge to participants in the Plan; however, we reserve the right to amend or terminate the Plan, including amending the Plan to include a service charge payable by the participants, if in the judgment of the board of directors the change is warranted. Any amendment to the Plan, except amendments necessary or appropriate to comply with applicable law or the rules and policies of the SEC or any other regulatory authority, require us to provide at least 30 days’ written notice to each participant. Additional information about the Plan may be obtained from Broadridge Financial Solutions, Inc., 1717 Arch St., Suite 1300, Philadelphia, PA 19103.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 xml:space="preserve">MANAGEMENT’S DISCUSSION AND ANALYSIS OF FINANCIAL CONDITION AND RESULTS OF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included under the caption “Management’s Discussion and Analysis of Financial Condition and Results of Operations” in Part II, Item 7 of our most recent Annual Report on </w:t>
      </w:r>
      <w:hyperlink r:id="rId1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Part I, Item 2 of our most recent Quarterly Report on </w:t>
      </w:r>
      <w:hyperlink r:id="rId20">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Information about our senior securities as of the fiscal years ended February 28, 2025 to February 28, 2011 is located in Note 8 to our audited consolidated financial statements in our most recent Annual Report on </w:t>
      </w:r>
      <w:hyperlink r:id="rId21">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is incorporated by reference into the registration statement of which this prospectus is a part. Information about our senior securities as of November 30, 2025 is located in Note 8 to our unaudited consolidated financial statements in our most recent Quarterly Report on </w:t>
      </w:r>
      <w:hyperlink r:id="rId22">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and is incorporated by reference into the registration statement of which this prospectus is a part. The report of our independent registered public accounting firm on the audited consolidated financial statements as of February 28, 2025 and February 29, 2024 and for each of the three years ended February 28, 2025, February 29, 2024 and February 28, 2023 is included in our most recent Annual Report on </w:t>
      </w:r>
      <w:hyperlink r:id="rId2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filed on May 7, 2025, and is incorporated by reference into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sections entitled “Business” in Part I, Item 1 and “Properties” in Part I, Item 2 in our most recent Annual Report on </w:t>
      </w:r>
      <w:hyperlink r:id="rId2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3"/>
      <w:bookmarkEnd w:id="27"/>
      <w:r>
        <w:rPr>
          <w:rFonts w:ascii="Times New Roman;Times;Serif" w:hAnsi="Times New Roman;Times;Serif"/>
          <w:b/>
          <w:i w:val="false"/>
          <w:caps w:val="false"/>
          <w:smallCaps w:val="false"/>
          <w:sz w:val="20"/>
        </w:rPr>
        <w:t xml:space="preserve">PORTFOLIO COMPANIES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November 30, 2025 for each portfolio company in which we had a debt or equity investment. Other than these investments, our only relationships with our portfolio companies are the managerial assistance we may separately provide to our portfolio companies, which services would be ancillary to our investments, and the board observer or participation rights we may receive.</w:t>
      </w:r>
    </w:p>
    <w:p>
      <w:pPr>
        <w:pStyle w:val="TextBody"/>
        <w:bidi w:val="0"/>
        <w:spacing w:before="0" w:after="0"/>
        <w:ind w:left="0" w:right="0" w:firstLine="360"/>
        <w:jc w:val="both"/>
        <w:rPr>
          <w:caps w:val="false"/>
          <w:smallCaps w:val="false"/>
        </w:rPr>
      </w:pPr>
      <w:r>
        <w:rPr>
          <w:caps w:val="false"/>
          <w:smallCaps w:val="false"/>
        </w:rPr>
        <w:t>  </w:t>
      </w:r>
    </w:p>
    <w:tbl>
      <w:tblPr>
        <w:tblW w:w="12155" w:type="dxa"/>
        <w:jc w:val="left"/>
        <w:tblInd w:w="0" w:type="dxa"/>
        <w:tblLayout w:type="fixed"/>
        <w:tblCellMar>
          <w:top w:w="0" w:type="dxa"/>
          <w:left w:w="0" w:type="dxa"/>
          <w:bottom w:w="28" w:type="dxa"/>
          <w:right w:w="0" w:type="dxa"/>
        </w:tblCellMar>
      </w:tblPr>
      <w:tblGrid>
        <w:gridCol w:w="1355"/>
        <w:gridCol w:w="90"/>
        <w:gridCol w:w="1445"/>
        <w:gridCol w:w="90"/>
        <w:gridCol w:w="1280"/>
        <w:gridCol w:w="90"/>
        <w:gridCol w:w="1205"/>
        <w:gridCol w:w="90"/>
        <w:gridCol w:w="170"/>
        <w:gridCol w:w="1130"/>
        <w:gridCol w:w="90"/>
        <w:gridCol w:w="90"/>
        <w:gridCol w:w="170"/>
        <w:gridCol w:w="1130"/>
        <w:gridCol w:w="90"/>
        <w:gridCol w:w="90"/>
        <w:gridCol w:w="170"/>
        <w:gridCol w:w="1130"/>
        <w:gridCol w:w="90"/>
        <w:gridCol w:w="90"/>
        <w:gridCol w:w="109"/>
        <w:gridCol w:w="571"/>
        <w:gridCol w:w="245"/>
        <w:gridCol w:w="90"/>
        <w:gridCol w:w="1055"/>
      </w:tblGrid>
      <w:tr>
        <w:trPr/>
        <w:tc>
          <w:tcPr>
            <w:tcW w:w="1355"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355" w:type="dxa"/>
            <w:tcBorders/>
            <w:shd w:fill="FFFFFF" w:val="clear"/>
            <w:tcMar>
              <w:bottom w:w="0" w:type="dxa"/>
            </w:tcMar>
            <w:vAlign w:val="center"/>
          </w:tcPr>
          <w:p>
            <w:pPr>
              <w:pStyle w:val="TableContents"/>
              <w:bidi w:val="0"/>
              <w:spacing w:before="0" w:after="283"/>
              <w:jc w:val="left"/>
              <w:rPr>
                <w:b/>
              </w:rPr>
            </w:pPr>
            <w:r>
              <w:rPr>
                <w:b/>
              </w:rPr>
              <w:t>Non-control/Non-affiliate investments - 222.8% (b)</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Altvia MidCo,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Alternative Investment Management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(6M USD TERM</w:t>
              <w:br/>
              <w:t>SOFR+8.08%), 12.25%</w:t>
              <w:br/>
              <w:t>Cash, 7/18/2027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7/18/2022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11,284,579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11,221,771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11,193,174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2.7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590 Burbank St. Suite 220 Broomfield, CO 80020</w:t>
            </w:r>
          </w:p>
        </w:tc>
      </w:tr>
      <w:tr>
        <w:trPr/>
        <w:tc>
          <w:tcPr>
            <w:tcW w:w="1355" w:type="dxa"/>
            <w:tcBorders/>
            <w:shd w:fill="FFFFFF" w:val="clear"/>
            <w:tcMar>
              <w:bottom w:w="0" w:type="dxa"/>
            </w:tcMar>
            <w:vAlign w:val="center"/>
          </w:tcPr>
          <w:p>
            <w:pPr>
              <w:pStyle w:val="TableContents"/>
              <w:bidi w:val="0"/>
              <w:spacing w:before="0" w:after="283"/>
              <w:jc w:val="left"/>
              <w:rPr/>
            </w:pPr>
            <w:r>
              <w:rPr/>
              <w:t>Altvia MidCo,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Alternative Investment Management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Series A-1 Preferred</w:t>
              <w:br/>
              <w:t>Shares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7/18/2022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2,083,939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2,083,939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2,767,026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Total Alternative</w:t>
              <w:br/>
              <w:t>Investment Management</w:t>
              <w:br/>
              <w:t>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13,305,710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13,960,200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3.4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BQE Software, Inc.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Architecture &amp; Engineering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w:t>
              <w:br/>
              <w:t>SOFR+5.50%), 9.67%</w:t>
              <w:br/>
              <w:t>Cash, 4/13/2028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4/13/2023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24,500,000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24,357,939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24,727,850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6.0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w:t>
            </w:r>
            <w:r>
              <w:rPr/>
              <w:t>8605 Santa Monica Blvd, PMB 25876 West Hollywood, CA 90069”</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Total Architecture &amp;</w:t>
              <w:br/>
              <w:t>Engineering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24,357,939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24,727,850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6.0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Golden TopCo LP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Association Management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Class A-2 Common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5/10/2023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1,072,394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1,072,394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1,787,432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23973 Hazelwood Drive South, Suite 100, Nisswa, MN 56468</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Total Association</w:t>
              <w:br/>
              <w:t>Management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1,072,394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1,787,432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Artemis Wax Corp.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Consumer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w:t>
              <w:br/>
              <w:t>Loan (1M USD TERM</w:t>
              <w:br/>
              <w:t xml:space="preserve">SOFR+6.75%), 11.02% </w:t>
              <w:br/>
              <w:t>Cash, 5/20/2026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5/20/2021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57,500,000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57,438,537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57,005,500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13.8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115 E. 92nd St, Apt 4F, New York, NY 10128</w:t>
            </w:r>
          </w:p>
        </w:tc>
      </w:tr>
      <w:tr>
        <w:trPr/>
        <w:tc>
          <w:tcPr>
            <w:tcW w:w="1355" w:type="dxa"/>
            <w:tcBorders/>
            <w:shd w:fill="CCEEFF" w:val="clear"/>
            <w:tcMar>
              <w:bottom w:w="0" w:type="dxa"/>
            </w:tcMar>
            <w:vAlign w:val="center"/>
          </w:tcPr>
          <w:p>
            <w:pPr>
              <w:pStyle w:val="TableContents"/>
              <w:bidi w:val="0"/>
              <w:spacing w:before="0" w:after="283"/>
              <w:jc w:val="left"/>
              <w:rPr/>
            </w:pPr>
            <w:r>
              <w:rPr/>
              <w:t>Artemis Wax Corp.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Consumer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Series B-1 Preferred</w:t>
              <w:br/>
              <w:t>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5/20/2021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934,463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Artemis Wax Corp.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Consumer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Series D Preferred Stock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12/22/2022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331,640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1,711,866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1,994,847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Total Consumer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60,650,403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59,000,347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14.3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Schoox, Inc. (h)(i)</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Corporate Education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Series 1 Membership</w:t>
              <w:br/>
              <w:t>Interest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12/8/2020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548,298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4,334,902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3112 Windsor Rd., #A108, Austin, TX 78703</w:t>
            </w:r>
          </w:p>
        </w:tc>
      </w:tr>
      <w:tr>
        <w:trPr/>
        <w:tc>
          <w:tcPr>
            <w:tcW w:w="135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Total Corporate</w:t>
              <w:br/>
              <w:t>Education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548,298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4,334,902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Innergy, Inc.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Custom Millwork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w:t>
              <w:br/>
              <w:t xml:space="preserve">SOFR+5.50%), 9.67% </w:t>
              <w:br/>
              <w:t>Cash, 2/20/2030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2/20/2025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32,000,000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31,756,195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32,073,600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7.8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500 West 5th Street, Suite 1100 Austin, TX 78701</w:t>
            </w:r>
          </w:p>
        </w:tc>
      </w:tr>
      <w:tr>
        <w:trPr/>
        <w:tc>
          <w:tcPr>
            <w:tcW w:w="1355" w:type="dxa"/>
            <w:tcBorders/>
            <w:shd w:fill="CCEEFF" w:val="clear"/>
            <w:tcMar>
              <w:bottom w:w="0" w:type="dxa"/>
            </w:tcMar>
            <w:vAlign w:val="center"/>
          </w:tcPr>
          <w:p>
            <w:pPr>
              <w:pStyle w:val="TableContents"/>
              <w:bidi w:val="0"/>
              <w:spacing w:before="0" w:after="283"/>
              <w:jc w:val="left"/>
              <w:rPr/>
            </w:pPr>
            <w:r>
              <w:rPr/>
              <w:t>Innergy, Inc. (j)</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Custom Millwork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Delayed Draw Term Loan</w:t>
              <w:br/>
              <w:t>(3M USD TERM SOFR+5.50%), 9.67% Cash, 2/20/2030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2/20/2025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1,982,786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2,004,600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Custom Millwork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33,738,981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34,078,200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8.3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GreyHeller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Cyber Security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Common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7,857,689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1,906,275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3,922,837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8111 Lyndon B Johnson Fwy #147, Dallas, TX 75251</w:t>
            </w:r>
          </w:p>
        </w:tc>
      </w:tr>
      <w:tr>
        <w:trPr/>
        <w:tc>
          <w:tcPr>
            <w:tcW w:w="135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4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Cyber Security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1,906,275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3,922,837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0.9</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1640" w:type="dxa"/>
        <w:jc w:val="left"/>
        <w:tblInd w:w="0" w:type="dxa"/>
        <w:tblLayout w:type="fixed"/>
        <w:tblCellMar>
          <w:top w:w="0" w:type="dxa"/>
          <w:left w:w="0" w:type="dxa"/>
          <w:bottom w:w="28" w:type="dxa"/>
          <w:right w:w="0" w:type="dxa"/>
        </w:tblCellMar>
      </w:tblPr>
      <w:tblGrid>
        <w:gridCol w:w="1190"/>
        <w:gridCol w:w="90"/>
        <w:gridCol w:w="1280"/>
        <w:gridCol w:w="90"/>
        <w:gridCol w:w="1280"/>
        <w:gridCol w:w="90"/>
        <w:gridCol w:w="1205"/>
        <w:gridCol w:w="90"/>
        <w:gridCol w:w="170"/>
        <w:gridCol w:w="1130"/>
        <w:gridCol w:w="90"/>
        <w:gridCol w:w="90"/>
        <w:gridCol w:w="90"/>
        <w:gridCol w:w="1130"/>
        <w:gridCol w:w="90"/>
        <w:gridCol w:w="90"/>
        <w:gridCol w:w="90"/>
        <w:gridCol w:w="1130"/>
        <w:gridCol w:w="125"/>
        <w:gridCol w:w="90"/>
        <w:gridCol w:w="109"/>
        <w:gridCol w:w="571"/>
        <w:gridCol w:w="245"/>
        <w:gridCol w:w="90"/>
        <w:gridCol w:w="995"/>
      </w:tblGrid>
      <w:tr>
        <w:trPr/>
        <w:tc>
          <w:tcPr>
            <w:tcW w:w="1190"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190" w:type="dxa"/>
            <w:tcBorders/>
            <w:shd w:fill="CCEEFF" w:val="clear"/>
            <w:tcMar>
              <w:bottom w:w="0" w:type="dxa"/>
            </w:tcMar>
            <w:vAlign w:val="center"/>
          </w:tcPr>
          <w:p>
            <w:pPr>
              <w:pStyle w:val="TableContents"/>
              <w:bidi w:val="0"/>
              <w:spacing w:before="0" w:after="283"/>
              <w:jc w:val="left"/>
              <w:rPr/>
            </w:pPr>
            <w:r>
              <w:rPr/>
              <w:t>Gen4 Dental Partners Holdings, LLC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Dental Practice 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(1M USD TERM SOFR+5.75%), 10.02% Cash, 5/13/2030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5/13/2024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7,053,571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6,997,470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7,124,107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1.7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230 West Monroe Street, Suite 1920, Chicago, IL 60606</w:t>
            </w:r>
          </w:p>
        </w:tc>
      </w:tr>
      <w:tr>
        <w:trPr/>
        <w:tc>
          <w:tcPr>
            <w:tcW w:w="1190" w:type="dxa"/>
            <w:tcBorders/>
            <w:shd w:fill="FFFFFF" w:val="clear"/>
            <w:tcMar>
              <w:bottom w:w="0" w:type="dxa"/>
            </w:tcMar>
            <w:vAlign w:val="center"/>
          </w:tcPr>
          <w:p>
            <w:pPr>
              <w:pStyle w:val="TableContents"/>
              <w:bidi w:val="0"/>
              <w:spacing w:before="0" w:after="283"/>
              <w:jc w:val="left"/>
              <w:rPr/>
            </w:pPr>
            <w:r>
              <w:rPr/>
              <w:t>Gen4 Dental Partners Holdings, LLC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Dental Practice Management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 Loan</w:t>
              <w:br/>
              <w:t>(1M USD TERM SOFR+5.75%), 10.02% Cash, 5/13/2030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5/13/2024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Gen4 Dental Partners Holdings, LLC (j)</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Dental Practice 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Revolving Credit Facility</w:t>
              <w:br/>
              <w:t>(1M USD TERM SOFR+5.75%), 10.02% Cash, 5/13/2030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5/13/2024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Gen4 Dental Partners Holdings, LLC (h)(i)</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Dental Practice Management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Series A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2/8/2023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493,999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1,027,519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1,165,838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Modis Dental Partners OpCo,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Dental Practice 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(1M USD TERM SOFR+9.37%), 13.69% Cash, 4/18/2028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4/18/2023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6,938,986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7,089,600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1.8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230 West Monroe Street, Suite 1920, Chicago, IL 60606</w:t>
            </w:r>
          </w:p>
        </w:tc>
      </w:tr>
      <w:tr>
        <w:trPr/>
        <w:tc>
          <w:tcPr>
            <w:tcW w:w="1190" w:type="dxa"/>
            <w:tcBorders/>
            <w:shd w:fill="FFFFFF" w:val="clear"/>
            <w:tcMar>
              <w:bottom w:w="0" w:type="dxa"/>
            </w:tcMar>
            <w:vAlign w:val="center"/>
          </w:tcPr>
          <w:p>
            <w:pPr>
              <w:pStyle w:val="TableContents"/>
              <w:bidi w:val="0"/>
              <w:spacing w:before="0" w:after="283"/>
              <w:jc w:val="left"/>
              <w:rPr/>
            </w:pPr>
            <w:r>
              <w:rPr/>
              <w:t>Modis Dental Partners OpCo,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Dental Practice Management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 Loan</w:t>
              <w:br/>
              <w:t>(1M USD TERM SOFR+9.37%), 13.69% Cash, 4/18/2028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4/18/2023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13,000,000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12,862,412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13,166,400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3.2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Modis Dental Partners OpCo,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Dental Practice Management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Class A Preferred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4/18/2023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3,829,312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Dental Practice Management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31,026,387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32,375,257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7.9</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Exigo, LLC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Direct Selling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(1M USD TERM SOFR+6.25%), 10.62% Cash, 3/16/2027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3/16/2022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23,877,538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23,805,482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22,927,212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5.5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1600 Viceroy Drive, Suite 125 , Dallas, TX 75235</w:t>
            </w:r>
          </w:p>
        </w:tc>
      </w:tr>
      <w:tr>
        <w:trPr/>
        <w:tc>
          <w:tcPr>
            <w:tcW w:w="1190" w:type="dxa"/>
            <w:tcBorders/>
            <w:shd w:fill="FFFFFF" w:val="clear"/>
            <w:tcMar>
              <w:bottom w:w="0" w:type="dxa"/>
            </w:tcMar>
            <w:vAlign w:val="center"/>
          </w:tcPr>
          <w:p>
            <w:pPr>
              <w:pStyle w:val="TableContents"/>
              <w:bidi w:val="0"/>
              <w:spacing w:before="0" w:after="283"/>
              <w:jc w:val="left"/>
              <w:rPr/>
            </w:pPr>
            <w:r>
              <w:rPr/>
              <w:t>Exigo, LLC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Direct Selling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Revolving Credit Facility</w:t>
              <w:br/>
              <w:t>(1M USD TERM SOFR+6.25%), 10.62% Cash, 3/16/2027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3/16/2022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(24,875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Exigo, LLC (h), (i)</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Direct Selling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Common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3/16/2022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1,041,667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1,041,667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634,167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Direct Selling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24,847,149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23,536,504</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5.7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C2 Educational Systems, Inc.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Education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SOFR+8.50%), 12.67% Cash, 11/30/2026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5/31/2017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22,999,951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22,967,800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5.6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6465 East Johns Crossing, Suite 100, Duluth, GA 30097</w:t>
            </w:r>
          </w:p>
        </w:tc>
      </w:tr>
      <w:tr>
        <w:trPr/>
        <w:tc>
          <w:tcPr>
            <w:tcW w:w="1190" w:type="dxa"/>
            <w:tcBorders/>
            <w:shd w:fill="FFFFFF" w:val="clear"/>
            <w:tcMar>
              <w:bottom w:w="0" w:type="dxa"/>
            </w:tcMar>
            <w:vAlign w:val="center"/>
          </w:tcPr>
          <w:p>
            <w:pPr>
              <w:pStyle w:val="TableContents"/>
              <w:bidi w:val="0"/>
              <w:spacing w:before="0" w:after="283"/>
              <w:jc w:val="left"/>
              <w:rPr/>
            </w:pPr>
            <w:r>
              <w:rPr/>
              <w:t>C2 Educational Systems, Inc.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Education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Series A-1 Preferred Stock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5/18/2021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3,127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499,904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628,543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Ready Education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Education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SOFR+7.00%), 11.17% Cash, 8/5/2027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8/5/2022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31,851,856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31,955,200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7.7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100 Summit Drive Burlington, MA 01803</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Education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55,351,711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55,551,543</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13.5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TG Pressure Washing Holdings,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Facilities Maintenance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Preferred 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8/12/2019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488,148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488,148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ind w:left="0" w:right="0" w:hanging="180"/>
              <w:jc w:val="left"/>
              <w:rPr/>
            </w:pPr>
            <w:r>
              <w:rPr/>
              <w:t>500 West 67th Street, Loveland, CO 80538</w:t>
            </w:r>
          </w:p>
        </w:tc>
      </w:tr>
      <w:tr>
        <w:trPr/>
        <w:tc>
          <w:tcPr>
            <w:tcW w:w="11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Facilities Maintenance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488,148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9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1800" w:type="dxa"/>
        <w:jc w:val="left"/>
        <w:tblInd w:w="0" w:type="dxa"/>
        <w:tblLayout w:type="fixed"/>
        <w:tblCellMar>
          <w:top w:w="0" w:type="dxa"/>
          <w:left w:w="0" w:type="dxa"/>
          <w:bottom w:w="28" w:type="dxa"/>
          <w:right w:w="0" w:type="dxa"/>
        </w:tblCellMar>
      </w:tblPr>
      <w:tblGrid>
        <w:gridCol w:w="1310"/>
        <w:gridCol w:w="90"/>
        <w:gridCol w:w="1070"/>
        <w:gridCol w:w="90"/>
        <w:gridCol w:w="1175"/>
        <w:gridCol w:w="90"/>
        <w:gridCol w:w="1205"/>
        <w:gridCol w:w="90"/>
        <w:gridCol w:w="170"/>
        <w:gridCol w:w="1190"/>
        <w:gridCol w:w="90"/>
        <w:gridCol w:w="90"/>
        <w:gridCol w:w="90"/>
        <w:gridCol w:w="1190"/>
        <w:gridCol w:w="90"/>
        <w:gridCol w:w="90"/>
        <w:gridCol w:w="90"/>
        <w:gridCol w:w="1190"/>
        <w:gridCol w:w="90"/>
        <w:gridCol w:w="90"/>
        <w:gridCol w:w="109"/>
        <w:gridCol w:w="571"/>
        <w:gridCol w:w="305"/>
        <w:gridCol w:w="90"/>
        <w:gridCol w:w="1145"/>
      </w:tblGrid>
      <w:tr>
        <w:trPr/>
        <w:tc>
          <w:tcPr>
            <w:tcW w:w="1310"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3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310" w:type="dxa"/>
            <w:tcBorders/>
            <w:shd w:fill="CCEEFF" w:val="clear"/>
            <w:tcMar>
              <w:bottom w:w="0" w:type="dxa"/>
            </w:tcMar>
            <w:vAlign w:val="center"/>
          </w:tcPr>
          <w:p>
            <w:pPr>
              <w:pStyle w:val="TableContents"/>
              <w:bidi w:val="0"/>
              <w:spacing w:before="0" w:after="283"/>
              <w:jc w:val="left"/>
              <w:rPr/>
            </w:pPr>
            <w:r>
              <w:rPr/>
              <w:t>GDS Software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Financial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xml:space="preserve">First Lien Term Loan </w:t>
              <w:br/>
              <w:t>(3M USD TERM SOFR+7.00%), 11.17% Cash, 12/30/2026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12/30/2021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22,713,926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22,674,422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22,713,926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5.6</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5307 East Mockingbird Lane Suite 1001, Dallas, TX</w:t>
            </w:r>
          </w:p>
        </w:tc>
      </w:tr>
      <w:tr>
        <w:trPr/>
        <w:tc>
          <w:tcPr>
            <w:tcW w:w="1310" w:type="dxa"/>
            <w:tcBorders/>
            <w:shd w:fill="FFFFFF" w:val="clear"/>
            <w:tcMar>
              <w:bottom w:w="0" w:type="dxa"/>
            </w:tcMar>
            <w:vAlign w:val="center"/>
          </w:tcPr>
          <w:p>
            <w:pPr>
              <w:pStyle w:val="TableContents"/>
              <w:bidi w:val="0"/>
              <w:spacing w:before="0" w:after="283"/>
              <w:jc w:val="left"/>
              <w:rPr/>
            </w:pPr>
            <w:r>
              <w:rPr/>
              <w:t>GDS Software Holdings, LLC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Financial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Delayed Draw Term Loan</w:t>
              <w:br/>
              <w:t>(3M USD TERM SOFR+7.00%), 11.17% Cash, 12/30/2026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12/30/2021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pPr>
            <w:r>
              <w:rPr/>
              <w:t>3,286,074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3,270,530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3,286,074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0.8</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GDS Software Holdings,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Financial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Common Stock Class A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8/23/2018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291,852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0.1</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Total Financial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26,194,952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26,291,852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6.5</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Inspect Point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Fire Inspection Business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xml:space="preserve">First Lien Term Loan </w:t>
              <w:br/>
              <w:t>(1M USD TERM SOFR+5.50%), 9.77% Cash, 07/19/2029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7/19/2023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20,000,000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19,855,001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20,050,000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4.9</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24 4th St, Troy, NY 12180</w:t>
            </w:r>
          </w:p>
        </w:tc>
      </w:tr>
      <w:tr>
        <w:trPr/>
        <w:tc>
          <w:tcPr>
            <w:tcW w:w="1310" w:type="dxa"/>
            <w:tcBorders/>
            <w:shd w:fill="FFFFFF" w:val="clear"/>
            <w:tcMar>
              <w:bottom w:w="0" w:type="dxa"/>
            </w:tcMar>
            <w:vAlign w:val="center"/>
          </w:tcPr>
          <w:p>
            <w:pPr>
              <w:pStyle w:val="TableContents"/>
              <w:bidi w:val="0"/>
              <w:spacing w:before="0" w:after="283"/>
              <w:jc w:val="left"/>
              <w:rPr/>
            </w:pPr>
            <w:r>
              <w:rPr/>
              <w:t>Inspect Point Holdings, LLC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Fire Inspection Business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xml:space="preserve">Delayed Draw Term Loan </w:t>
              <w:br/>
              <w:t>(1M USD TERM SOFR+5.50%), 9.77% Cash, 07/19/2029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7/19/2023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0.0</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Total Fire Inspection Business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19,855,001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20,050,000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4.9</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pPr>
            <w:r>
              <w:rPr/>
              <w:t>Stretch Zone Franchising, LLC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Health/Fitness Franchisor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SOFR+7.00%), 11.17% Cash, 3/31/2028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3/31/2023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pPr>
            <w:r>
              <w:rPr/>
              <w:t>16,228,726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16,140,088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15,553,611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3.8</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6700 North Andrews Ave. #210 Fort Lauderdale, FL 33309</w:t>
            </w:r>
          </w:p>
        </w:tc>
      </w:tr>
      <w:tr>
        <w:trPr/>
        <w:tc>
          <w:tcPr>
            <w:tcW w:w="1310" w:type="dxa"/>
            <w:tcBorders/>
            <w:shd w:fill="CCEEFF" w:val="clear"/>
            <w:tcMar>
              <w:bottom w:w="0" w:type="dxa"/>
            </w:tcMar>
            <w:vAlign w:val="center"/>
          </w:tcPr>
          <w:p>
            <w:pPr>
              <w:pStyle w:val="TableContents"/>
              <w:bidi w:val="0"/>
              <w:spacing w:before="0" w:after="283"/>
              <w:jc w:val="left"/>
              <w:rPr/>
            </w:pPr>
            <w:r>
              <w:rPr/>
              <w:t>Stretch Zone Franchising,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Health/Fitness Franchisor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SOFR+7.00%), 11.17% Cash, 3/31/2028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3/31/2023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8,738,545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8,688,413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8,375,021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2.0</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pPr>
            <w:r>
              <w:rPr/>
              <w:t>Stretch Zone Franchising,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Health/Fitness Franchisor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Class A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3/31/2023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20,000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877,862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0.2</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Total Health/Fitness Franchisor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26,828,501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24,806,494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6.0</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pPr>
            <w:r>
              <w:rPr/>
              <w:t> </w:t>
            </w:r>
            <w:r>
              <w:rPr/>
              <w:t>Alpha Aesthetics Partners OpCo,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Healthcare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(1M USD TERM SOFR+9.85%), 14.18% Cash, 3/20/2028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3/20/2023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pPr>
            <w:r>
              <w:rPr/>
              <w:t>3,900,000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3,866,095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3,952,260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1.0</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2211 Francisco Dr., El Dorado Hills, CA 95762</w:t>
            </w:r>
          </w:p>
        </w:tc>
      </w:tr>
      <w:tr>
        <w:trPr/>
        <w:tc>
          <w:tcPr>
            <w:tcW w:w="1310" w:type="dxa"/>
            <w:tcBorders/>
            <w:shd w:fill="CCEEFF" w:val="clear"/>
            <w:tcMar>
              <w:bottom w:w="0" w:type="dxa"/>
            </w:tcMar>
            <w:vAlign w:val="center"/>
          </w:tcPr>
          <w:p>
            <w:pPr>
              <w:pStyle w:val="TableContents"/>
              <w:bidi w:val="0"/>
              <w:spacing w:before="0" w:after="283"/>
              <w:jc w:val="left"/>
              <w:rPr/>
            </w:pPr>
            <w:r>
              <w:rPr/>
              <w:t>Alpha Aesthetics Partners OpCo,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Healthcare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Delayed Draw Term Loan</w:t>
              <w:br/>
              <w:t>(1M USD TERM SOFR+9.85%), 14.18% Cash, 3/20/2028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3/20/2023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15,100,000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14,951,954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15,302,340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3.7</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pPr>
            <w:r>
              <w:rPr/>
              <w:t>Alpha Aesthetics Partners OpCo,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Healthcare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Class A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3/20/2023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3,675,000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3,675,000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3,520,466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0.9</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ComForCare Health Care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Healthcare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SOFR+6.25%), 10.42% Cash, 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1/31/2017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70,000,000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69,698,689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90" w:type="dxa"/>
            <w:tcBorders>
              <w:bottom w:val="single" w:sz="8" w:space="0" w:color="000000"/>
            </w:tcBorders>
            <w:shd w:fill="CCEEFF" w:val="clear"/>
            <w:vAlign w:val="center"/>
          </w:tcPr>
          <w:p>
            <w:pPr>
              <w:pStyle w:val="TableContents"/>
              <w:bidi w:val="0"/>
              <w:spacing w:before="0" w:after="283"/>
              <w:jc w:val="right"/>
              <w:rPr/>
            </w:pPr>
            <w:r>
              <w:rPr/>
              <w:t>70,140,000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17.0</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2520 S Telegraph Rd #201, Bloomfield Hills, MI 48302</w:t>
            </w:r>
          </w:p>
        </w:tc>
      </w:tr>
      <w:tr>
        <w:trPr/>
        <w:tc>
          <w:tcPr>
            <w:tcW w:w="131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Total Healthcare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92,191,738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90" w:type="dxa"/>
            <w:tcBorders>
              <w:bottom w:val="single" w:sz="8" w:space="0" w:color="000000"/>
            </w:tcBorders>
            <w:shd w:fill="FFFFFF" w:val="clear"/>
            <w:vAlign w:val="center"/>
          </w:tcPr>
          <w:p>
            <w:pPr>
              <w:pStyle w:val="TableContents"/>
              <w:bidi w:val="0"/>
              <w:spacing w:before="0" w:after="283"/>
              <w:jc w:val="right"/>
              <w:rPr/>
            </w:pPr>
            <w:r>
              <w:rPr/>
              <w:t>92,915,066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22.6</w:t>
            </w:r>
          </w:p>
        </w:tc>
        <w:tc>
          <w:tcPr>
            <w:tcW w:w="30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pPr>
            <w:r>
              <w:rPr/>
              <w:t>Procurement Partners,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Healthcare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SOFR+6.50%), 10.67% Cash, 5/12/2026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11/12/2020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35,125,000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35,078,415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35,125,000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8.5</w:t>
            </w:r>
          </w:p>
        </w:tc>
        <w:tc>
          <w:tcPr>
            <w:tcW w:w="30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ind w:left="0" w:right="0" w:hanging="180"/>
              <w:jc w:val="left"/>
              <w:rPr/>
            </w:pPr>
            <w:r>
              <w:rPr/>
              <w:t>17035 W. Wisconsin Ave, Suite 100, Brookfield, WI 53005</w:t>
            </w:r>
          </w:p>
        </w:tc>
      </w:tr>
      <w:tr>
        <w:trPr/>
        <w:tc>
          <w:tcPr>
            <w:tcW w:w="1310" w:type="dxa"/>
            <w:tcBorders/>
            <w:shd w:fill="FFFFFF" w:val="clear"/>
            <w:tcMar>
              <w:bottom w:w="0" w:type="dxa"/>
            </w:tcMar>
            <w:vAlign w:val="center"/>
          </w:tcPr>
          <w:p>
            <w:pPr>
              <w:pStyle w:val="TableContents"/>
              <w:bidi w:val="0"/>
              <w:spacing w:before="0" w:after="283"/>
              <w:jc w:val="left"/>
              <w:rPr/>
            </w:pPr>
            <w:r>
              <w:rPr/>
              <w:t>Procurement Partners,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Healthcare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Delayed Draw Term Loan</w:t>
              <w:br/>
              <w:t>(3M USD TERM SOFR+6.50%), 10.67% Cash, 5/12/2026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11/12/2020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jc w:val="right"/>
              <w:rPr/>
            </w:pPr>
            <w:r>
              <w:rPr/>
              <w:t>10,300,000 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10,307,554 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10,300,000 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2.5 </w:t>
            </w:r>
          </w:p>
        </w:tc>
        <w:tc>
          <w:tcPr>
            <w:tcW w:w="3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2130" w:type="dxa"/>
        <w:jc w:val="left"/>
        <w:tblInd w:w="0" w:type="dxa"/>
        <w:tblLayout w:type="fixed"/>
        <w:tblCellMar>
          <w:top w:w="0" w:type="dxa"/>
          <w:left w:w="0" w:type="dxa"/>
          <w:bottom w:w="28" w:type="dxa"/>
          <w:right w:w="0" w:type="dxa"/>
        </w:tblCellMar>
      </w:tblPr>
      <w:tblGrid>
        <w:gridCol w:w="1565"/>
        <w:gridCol w:w="90"/>
        <w:gridCol w:w="1325"/>
        <w:gridCol w:w="90"/>
        <w:gridCol w:w="1325"/>
        <w:gridCol w:w="90"/>
        <w:gridCol w:w="1205"/>
        <w:gridCol w:w="90"/>
        <w:gridCol w:w="170"/>
        <w:gridCol w:w="1130"/>
        <w:gridCol w:w="90"/>
        <w:gridCol w:w="90"/>
        <w:gridCol w:w="90"/>
        <w:gridCol w:w="1130"/>
        <w:gridCol w:w="90"/>
        <w:gridCol w:w="90"/>
        <w:gridCol w:w="90"/>
        <w:gridCol w:w="1130"/>
        <w:gridCol w:w="90"/>
        <w:gridCol w:w="90"/>
        <w:gridCol w:w="109"/>
        <w:gridCol w:w="571"/>
        <w:gridCol w:w="245"/>
        <w:gridCol w:w="90"/>
        <w:gridCol w:w="1055"/>
      </w:tblGrid>
      <w:tr>
        <w:trPr/>
        <w:tc>
          <w:tcPr>
            <w:tcW w:w="1565"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565" w:type="dxa"/>
            <w:tcBorders/>
            <w:shd w:fill="CCEEFF" w:val="clear"/>
            <w:tcMar>
              <w:bottom w:w="0" w:type="dxa"/>
            </w:tcMar>
            <w:vAlign w:val="center"/>
          </w:tcPr>
          <w:p>
            <w:pPr>
              <w:pStyle w:val="TableContents"/>
              <w:bidi w:val="0"/>
              <w:spacing w:before="0" w:after="283"/>
              <w:jc w:val="left"/>
              <w:rPr/>
            </w:pPr>
            <w:r>
              <w:rPr/>
              <w:t>Procurement Partners Holdings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Healthcare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Class A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11/12/2020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571,219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571,219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284,555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Procurement Partners Holdings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Healthcare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Class AA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11/12/2020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220,385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30,994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73,700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Healthcare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45,988,182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45,783,255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11.1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Roscoe Medical, Inc.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Healthcare Supply</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Common Stock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3/26/2014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5,081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508,077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6753 Engle Road, Middleburg Heights, OH 44130</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Healthcare Supply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508,077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Granite Comfort, LP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HVAC Services and Sales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First Lien Term Loan</w:t>
              <w:br/>
              <w:t>(3M USD TERM SOFR+7.40%), 11.57% Cash, 5/16/2027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11/16/2020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43,000,000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42,884,162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42,458,199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10.3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717 Fifth Ave, Fl. 12A, New York, NY 10022</w:t>
            </w:r>
          </w:p>
        </w:tc>
      </w:tr>
      <w:tr>
        <w:trPr/>
        <w:tc>
          <w:tcPr>
            <w:tcW w:w="1565" w:type="dxa"/>
            <w:tcBorders/>
            <w:shd w:fill="CCEEFF" w:val="clear"/>
            <w:tcMar>
              <w:bottom w:w="0" w:type="dxa"/>
            </w:tcMar>
            <w:vAlign w:val="center"/>
          </w:tcPr>
          <w:p>
            <w:pPr>
              <w:pStyle w:val="TableContents"/>
              <w:bidi w:val="0"/>
              <w:spacing w:before="0" w:after="283"/>
              <w:jc w:val="left"/>
              <w:rPr/>
            </w:pPr>
            <w:r>
              <w:rPr/>
              <w:t>Granite Comfort, LP (j)(d)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HVAC Services and Sales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Delayed Draw Term Loan</w:t>
              <w:br/>
              <w:t>(3M USD TERM SOFR+7.40%), 11.57% Cash, 5/16/2027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11/16/2020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9,992,940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9,946,886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9,867,029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2.4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Total HVAC Services and Sales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52,831,048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52,325,228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12.7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Vector Controls Holding Co.,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Industrial Products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Warrants to Purchase Limited Liability Company Interests, Expires 11/30/2027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r>
              <w:rPr/>
              <w:t>5/31/2015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8,543,641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2.1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2200 10th St. #300, Plano, TX 75074</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Total Industrial Products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8,543,641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2.1</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AgencyBloc, LLC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Insurance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xml:space="preserve">First Lien Term Loan </w:t>
              <w:br/>
              <w:t>(1M USD TERM SOFR+7.76%), 12.03% Cash, 10/1/2026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10/1/2021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15,436,023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15,400,534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15,436,023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3.7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201 Washington Street, Cedar Falls, IA 50613</w:t>
            </w:r>
          </w:p>
        </w:tc>
      </w:tr>
      <w:tr>
        <w:trPr/>
        <w:tc>
          <w:tcPr>
            <w:tcW w:w="1565" w:type="dxa"/>
            <w:tcBorders/>
            <w:shd w:fill="FFFFFF" w:val="clear"/>
            <w:tcMar>
              <w:bottom w:w="0" w:type="dxa"/>
            </w:tcMar>
            <w:vAlign w:val="center"/>
          </w:tcPr>
          <w:p>
            <w:pPr>
              <w:pStyle w:val="TableContents"/>
              <w:bidi w:val="0"/>
              <w:spacing w:before="0" w:after="283"/>
              <w:jc w:val="left"/>
              <w:rPr/>
            </w:pPr>
            <w:r>
              <w:rPr/>
              <w:t>Panther ParentCo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Insurance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Class A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10/1/2021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5,748,991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201 Washington Street, Cedar Falls, IA 50613</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Insurance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17,900,534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21,185,014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5.1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Avantra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IT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First Lien Term Loan</w:t>
              <w:br/>
              <w:t>(3M USD TERM SOFR+7.97%), 12.14% Cash, 9/20/2029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9/19/2024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17,000,000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16,846,422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16,971,100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4.1</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Parkshot House, 5 Kew Road, Richmond TW9 2PR, Richmond TW9 2PR</w:t>
            </w:r>
          </w:p>
        </w:tc>
      </w:tr>
      <w:tr>
        <w:trPr/>
        <w:tc>
          <w:tcPr>
            <w:tcW w:w="1565" w:type="dxa"/>
            <w:tcBorders/>
            <w:shd w:fill="CCEEFF" w:val="clear"/>
            <w:tcMar>
              <w:bottom w:w="0" w:type="dxa"/>
            </w:tcMar>
            <w:vAlign w:val="center"/>
          </w:tcPr>
          <w:p>
            <w:pPr>
              <w:pStyle w:val="TableContents"/>
              <w:bidi w:val="0"/>
              <w:spacing w:before="0" w:after="283"/>
              <w:jc w:val="left"/>
              <w:rPr/>
            </w:pPr>
            <w:r>
              <w:rPr/>
              <w:t>Maple Holdings Midco Limited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IT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Class A Common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9/19/2024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2,294,258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Parkshot House, 5 Kew Road, Richmond TW9 2PR, Richmond TW9 2PR</w:t>
            </w:r>
          </w:p>
        </w:tc>
      </w:tr>
      <w:tr>
        <w:trPr/>
        <w:tc>
          <w:tcPr>
            <w:tcW w:w="156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Total IT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18,846,422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19,265,358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4.7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ActiveProspect, Inc.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Lead Management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First Lien Term Loan</w:t>
              <w:br/>
              <w:t>(3M USD TERM SOFR+6.00%), 10.37% Cash, 8/8/2027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8/8/2022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11,525,624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11,483,483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11,525,624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2.8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4009 Marathon Blvd, Austin, TX 78756</w:t>
            </w:r>
          </w:p>
        </w:tc>
      </w:tr>
      <w:tr>
        <w:trPr/>
        <w:tc>
          <w:tcPr>
            <w:tcW w:w="1565" w:type="dxa"/>
            <w:tcBorders/>
            <w:shd w:fill="FFFFFF" w:val="clear"/>
            <w:tcMar>
              <w:bottom w:w="0" w:type="dxa"/>
            </w:tcMar>
            <w:vAlign w:val="center"/>
          </w:tcPr>
          <w:p>
            <w:pPr>
              <w:pStyle w:val="TableContents"/>
              <w:bidi w:val="0"/>
              <w:spacing w:before="0" w:after="283"/>
              <w:jc w:val="left"/>
              <w:rPr/>
            </w:pPr>
            <w:r>
              <w:rPr/>
              <w:t>ActiveProspect, Inc.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Lead Management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Delayed Draw Term Loan</w:t>
              <w:br/>
              <w:t>(3M USD TERM SOFR+6.00%), 10.37% Cash, 8/8/2027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8/8/2022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Lead Management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11,483,483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11,525,624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2.8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Madison Logic, Inc. (d)(m)</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Marketing Orchestration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First Lien Term Loan</w:t>
              <w:br/>
              <w:t>(1M USD TERM SOFR+7.00%), 11.37% Cash, 12/30/2028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12/30/2022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19,029,758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18,863,585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17,870,846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4.3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126 East 56th Street, 32nd Floor, New York, NY 10022</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Marketing Orchestration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18,863,585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17,870,846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4.3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5" w:type="dxa"/>
            <w:tcBorders/>
            <w:shd w:fill="FFFFFF" w:val="clear"/>
            <w:tcMar>
              <w:bottom w:w="0" w:type="dxa"/>
            </w:tcMar>
            <w:vAlign w:val="center"/>
          </w:tcPr>
          <w:p>
            <w:pPr>
              <w:pStyle w:val="TableContents"/>
              <w:bidi w:val="0"/>
              <w:spacing w:before="0" w:after="283"/>
              <w:jc w:val="left"/>
              <w:rPr/>
            </w:pPr>
            <w:r>
              <w:rPr/>
              <w:t>ARC Health OpCo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Mental Healthcare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Class A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 </w:t>
            </w:r>
            <w:r>
              <w:rPr/>
              <w:t>8/5/2022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3,818,400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4,169,599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296,698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0.1</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230 West Monroe Street, Suite 1920, Chicago, IL 60606</w:t>
            </w:r>
          </w:p>
        </w:tc>
      </w:tr>
      <w:tr>
        <w:trPr/>
        <w:tc>
          <w:tcPr>
            <w:tcW w:w="15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Total Mental Healthcare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4,169,599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296,698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1670" w:type="dxa"/>
        <w:jc w:val="left"/>
        <w:tblInd w:w="0" w:type="dxa"/>
        <w:tblLayout w:type="fixed"/>
        <w:tblCellMar>
          <w:top w:w="0" w:type="dxa"/>
          <w:left w:w="0" w:type="dxa"/>
          <w:bottom w:w="28" w:type="dxa"/>
          <w:right w:w="0" w:type="dxa"/>
        </w:tblCellMar>
      </w:tblPr>
      <w:tblGrid>
        <w:gridCol w:w="1250"/>
        <w:gridCol w:w="90"/>
        <w:gridCol w:w="1235"/>
        <w:gridCol w:w="90"/>
        <w:gridCol w:w="1235"/>
        <w:gridCol w:w="90"/>
        <w:gridCol w:w="1205"/>
        <w:gridCol w:w="90"/>
        <w:gridCol w:w="170"/>
        <w:gridCol w:w="1130"/>
        <w:gridCol w:w="90"/>
        <w:gridCol w:w="90"/>
        <w:gridCol w:w="90"/>
        <w:gridCol w:w="1130"/>
        <w:gridCol w:w="125"/>
        <w:gridCol w:w="90"/>
        <w:gridCol w:w="90"/>
        <w:gridCol w:w="1130"/>
        <w:gridCol w:w="90"/>
        <w:gridCol w:w="90"/>
        <w:gridCol w:w="109"/>
        <w:gridCol w:w="571"/>
        <w:gridCol w:w="245"/>
        <w:gridCol w:w="90"/>
        <w:gridCol w:w="1055"/>
      </w:tblGrid>
      <w:tr>
        <w:trPr/>
        <w:tc>
          <w:tcPr>
            <w:tcW w:w="1250"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Cost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250" w:type="dxa"/>
            <w:tcBorders/>
            <w:shd w:fill="CCEEFF" w:val="clear"/>
            <w:tcMar>
              <w:bottom w:w="0" w:type="dxa"/>
            </w:tcMar>
            <w:vAlign w:val="center"/>
          </w:tcPr>
          <w:p>
            <w:pPr>
              <w:pStyle w:val="TableContents"/>
              <w:bidi w:val="0"/>
              <w:spacing w:before="0" w:after="283"/>
              <w:jc w:val="left"/>
              <w:rPr/>
            </w:pPr>
            <w:r>
              <w:rPr/>
              <w:t>Chronus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Mentoring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First Lien Term Loan</w:t>
              <w:br/>
              <w:t>(3M USD TERM SOFR+5.25%), 9.19% Cash, 8/26/2026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8/26/2021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15,000,000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14,969,927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14,683,500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3.6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15395 SE 30th Place, Suite 140, Bellevue, WA 98007</w:t>
            </w:r>
          </w:p>
        </w:tc>
      </w:tr>
      <w:tr>
        <w:trPr/>
        <w:tc>
          <w:tcPr>
            <w:tcW w:w="1250" w:type="dxa"/>
            <w:tcBorders/>
            <w:shd w:fill="FFFFFF" w:val="clear"/>
            <w:tcMar>
              <w:bottom w:w="0" w:type="dxa"/>
            </w:tcMar>
            <w:vAlign w:val="center"/>
          </w:tcPr>
          <w:p>
            <w:pPr>
              <w:pStyle w:val="TableContents"/>
              <w:bidi w:val="0"/>
              <w:spacing w:before="0" w:after="283"/>
              <w:jc w:val="left"/>
              <w:rPr/>
            </w:pPr>
            <w:r>
              <w:rPr/>
              <w:t>Chronus LLC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Mentoring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First Lien Term Loan</w:t>
              <w:br/>
              <w:t>(3M USD TERM SOFR+6.00%), 9.94% Cash, 8/26/2026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8/26/2021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5,000,000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4,985,148</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4,894,500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1.2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Chronus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Mentoring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Series A Preferred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8/26/2021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3,000,000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1,159,470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Total Mentoring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22,955,075</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20,737,470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5.1</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Cloudpermit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Municipal Government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First Lien Term Loan</w:t>
              <w:br/>
              <w:t>(3M USD TERM SOFR+5.75%), 9.92% Cash, 9/5/2029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9/5/2024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28,000,000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27,779,421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27,988,800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6.8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11911 Freedom Drive, Suite 720, Reston, VA 20190</w:t>
            </w:r>
          </w:p>
        </w:tc>
      </w:tr>
      <w:tr>
        <w:trPr/>
        <w:tc>
          <w:tcPr>
            <w:tcW w:w="1250" w:type="dxa"/>
            <w:tcBorders/>
            <w:shd w:fill="FFFFFF" w:val="clear"/>
            <w:tcMar>
              <w:bottom w:w="0" w:type="dxa"/>
            </w:tcMar>
            <w:vAlign w:val="center"/>
          </w:tcPr>
          <w:p>
            <w:pPr>
              <w:pStyle w:val="TableContents"/>
              <w:bidi w:val="0"/>
              <w:spacing w:before="0" w:after="283"/>
              <w:jc w:val="left"/>
              <w:rPr/>
            </w:pPr>
            <w:r>
              <w:rPr/>
              <w:t>Cloudpermit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Municipal Government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Delayed Draw Term Loan</w:t>
              <w:br/>
              <w:t>(3M USD TERM SOFR+5.75%), 9.92% Cash, 9/5/2029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9/5/2024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Cloudpermit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Municipal Government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Limited Partner Interests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9/5/2024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2,000,000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2,339,779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Total Municipal Government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29,779,421</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30,328,579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7.4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Emily Street Enterprises, L.L.C.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Office Supplies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Note</w:t>
              <w:br/>
              <w:t>(3M USD TERM SOFR+6.75%), 11.00% Cash, 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12/28/2012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5,300,000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5,286,772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5,339,220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15878 Gaither Drive, Gaithersburg, MD 20877</w:t>
            </w:r>
          </w:p>
        </w:tc>
      </w:tr>
      <w:tr>
        <w:trPr/>
        <w:tc>
          <w:tcPr>
            <w:tcW w:w="12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Total Office Supplies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5,286,772</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5,339,220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Source 44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Product Compliance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First Lien Term Loan</w:t>
              <w:br/>
              <w:t>(3M USD TERM SOFR+5.25%), 6.75% Cash, 10/17/2030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2,973,750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2,973,750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4660 La Jolla Village Drive, Suite 100, San Diego, CA 92122</w:t>
            </w:r>
          </w:p>
        </w:tc>
      </w:tr>
      <w:tr>
        <w:trPr/>
        <w:tc>
          <w:tcPr>
            <w:tcW w:w="1250" w:type="dxa"/>
            <w:tcBorders/>
            <w:shd w:fill="FFFFFF" w:val="clear"/>
            <w:tcMar>
              <w:bottom w:w="0" w:type="dxa"/>
            </w:tcMar>
            <w:vAlign w:val="center"/>
          </w:tcPr>
          <w:p>
            <w:pPr>
              <w:pStyle w:val="TableContents"/>
              <w:bidi w:val="0"/>
              <w:spacing w:before="0" w:after="283"/>
              <w:jc w:val="left"/>
              <w:rPr/>
            </w:pPr>
            <w:r>
              <w:rPr/>
              <w:t>Source 44 LLC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Product Compliance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Delayed Draw Term Loan</w:t>
              <w:br/>
              <w:t>(3M USD TERM SOFR+5.25%), 6.75% Cash, 10/17/2030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10/17/2025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Source 44 LLC (j)</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Product Compliance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Revolving Credit Facility</w:t>
              <w:br/>
              <w:t>(3M USD TERM SOFR+5.25%), 6.75% Cash, 10/17/2030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PG Source Investments, LLC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Product Compliance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Series A Preferred Stock</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10/17/2025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705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1,500,000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4660 La Jolla Village Drive, Suite 100, San Diego, CA 92122</w:t>
            </w:r>
          </w:p>
        </w:tc>
      </w:tr>
      <w:tr>
        <w:trPr/>
        <w:tc>
          <w:tcPr>
            <w:tcW w:w="12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Total Product Compliance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4,463,750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4,473,750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Buildout, Inc.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Real Estate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First Lien Term Loan</w:t>
              <w:br/>
              <w:t>(3M USD TERM SOFR+7.00%), 11.27% Cash, 12/31/2025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7/9/2020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14,000,000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14,000,000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13,706,000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3.3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222 S. Riverside Plaza #810, Chicago, IL 60606</w:t>
            </w:r>
          </w:p>
        </w:tc>
      </w:tr>
      <w:tr>
        <w:trPr/>
        <w:tc>
          <w:tcPr>
            <w:tcW w:w="1250" w:type="dxa"/>
            <w:tcBorders/>
            <w:shd w:fill="CCEEFF" w:val="clear"/>
            <w:tcMar>
              <w:bottom w:w="0" w:type="dxa"/>
            </w:tcMar>
            <w:vAlign w:val="center"/>
          </w:tcPr>
          <w:p>
            <w:pPr>
              <w:pStyle w:val="TableContents"/>
              <w:bidi w:val="0"/>
              <w:spacing w:before="0" w:after="283"/>
              <w:jc w:val="left"/>
              <w:rPr/>
            </w:pPr>
            <w:r>
              <w:rPr/>
              <w:t>Buildout,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Real Estate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Delayed Draw Term Loan</w:t>
              <w:br/>
              <w:t>(3M USD TERM SOFR+7.00%), 11.27% Cash, 12/31/2025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2/12/2021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38,500,000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38,500,000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37,691,500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9.1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Buildout, Inc. (h)(i)</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Real Estate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Limited Partner Interests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7/9/2020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1,372,557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781,252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Total Real Estate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53,872,557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52,178,752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12.6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Wellspring Worldwide Inc. (d)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Research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 xml:space="preserve">First Lien Term Loan </w:t>
              <w:br/>
              <w:t>(3M USD TERM SOFR+8.42%), 12.59% Cash, 2/28/2029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6/27/2022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9,372,000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9,318,787</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9,372,000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2.3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954 W. Washington Boulevard, Suite 750, Chicago, IL 60607</w:t>
            </w:r>
          </w:p>
        </w:tc>
      </w:tr>
      <w:tr>
        <w:trPr/>
        <w:tc>
          <w:tcPr>
            <w:tcW w:w="1250" w:type="dxa"/>
            <w:tcBorders/>
            <w:shd w:fill="CCEEFF" w:val="clear"/>
            <w:tcMar>
              <w:bottom w:w="0" w:type="dxa"/>
            </w:tcMar>
            <w:vAlign w:val="center"/>
          </w:tcPr>
          <w:p>
            <w:pPr>
              <w:pStyle w:val="TableContents"/>
              <w:bidi w:val="0"/>
              <w:spacing w:before="0" w:after="283"/>
              <w:jc w:val="left"/>
              <w:rPr/>
            </w:pPr>
            <w:r>
              <w:rPr/>
              <w:t>Wellspring Worldwide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Research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xml:space="preserve">Delayed DrawTerm Loan </w:t>
              <w:br/>
              <w:t>(3M USD TERM SOFR+8.42%), 12.59% Cash, 2/28/2029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6/27/2022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25,310,000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25,075,626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25,310,000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6.2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50" w:type="dxa"/>
            <w:tcBorders/>
            <w:shd w:fill="FFFFFF" w:val="clear"/>
            <w:tcMar>
              <w:bottom w:w="0" w:type="dxa"/>
            </w:tcMar>
            <w:vAlign w:val="center"/>
          </w:tcPr>
          <w:p>
            <w:pPr>
              <w:pStyle w:val="TableContents"/>
              <w:bidi w:val="0"/>
              <w:spacing w:before="0" w:after="283"/>
              <w:jc w:val="left"/>
              <w:rPr/>
            </w:pPr>
            <w:r>
              <w:rPr/>
              <w:t>Archimedes Parent LLC (h)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Research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35" w:type="dxa"/>
            <w:tcBorders/>
            <w:shd w:fill="FFFFFF" w:val="clear"/>
            <w:tcMar>
              <w:bottom w:w="0" w:type="dxa"/>
            </w:tcMar>
            <w:vAlign w:val="center"/>
          </w:tcPr>
          <w:p>
            <w:pPr>
              <w:pStyle w:val="TableContents"/>
              <w:bidi w:val="0"/>
              <w:spacing w:before="0" w:after="283"/>
              <w:jc w:val="left"/>
              <w:rPr/>
            </w:pPr>
            <w:r>
              <w:rPr/>
              <w:t>Class A Common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6/27/2022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2,475,160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2,475,160</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2,110,574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ind w:left="0" w:right="0" w:hanging="180"/>
              <w:jc w:val="left"/>
              <w:rPr/>
            </w:pPr>
            <w:r>
              <w:rPr/>
              <w:t>954 W. Washington Boulevard, Suite 750, Chicago, IL 60607</w:t>
            </w:r>
          </w:p>
        </w:tc>
      </w:tr>
      <w:tr>
        <w:trPr/>
        <w:tc>
          <w:tcPr>
            <w:tcW w:w="12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Total Research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36,869,573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36,792,574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9.0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755" w:type="dxa"/>
        <w:jc w:val="left"/>
        <w:tblInd w:w="0" w:type="dxa"/>
        <w:tblLayout w:type="fixed"/>
        <w:tblCellMar>
          <w:top w:w="0" w:type="dxa"/>
          <w:left w:w="0" w:type="dxa"/>
          <w:bottom w:w="28" w:type="dxa"/>
          <w:right w:w="0" w:type="dxa"/>
        </w:tblCellMar>
      </w:tblPr>
      <w:tblGrid>
        <w:gridCol w:w="1145"/>
        <w:gridCol w:w="90"/>
        <w:gridCol w:w="1280"/>
        <w:gridCol w:w="90"/>
        <w:gridCol w:w="1280"/>
        <w:gridCol w:w="90"/>
        <w:gridCol w:w="1205"/>
        <w:gridCol w:w="90"/>
        <w:gridCol w:w="170"/>
        <w:gridCol w:w="1130"/>
        <w:gridCol w:w="90"/>
        <w:gridCol w:w="90"/>
        <w:gridCol w:w="90"/>
        <w:gridCol w:w="1130"/>
        <w:gridCol w:w="90"/>
        <w:gridCol w:w="90"/>
        <w:gridCol w:w="90"/>
        <w:gridCol w:w="1130"/>
        <w:gridCol w:w="90"/>
        <w:gridCol w:w="90"/>
        <w:gridCol w:w="109"/>
        <w:gridCol w:w="571"/>
        <w:gridCol w:w="245"/>
        <w:gridCol w:w="90"/>
        <w:gridCol w:w="1190"/>
      </w:tblGrid>
      <w:tr>
        <w:trPr/>
        <w:tc>
          <w:tcPr>
            <w:tcW w:w="1145"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145" w:type="dxa"/>
            <w:tcBorders/>
            <w:shd w:fill="CCEEFF" w:val="clear"/>
            <w:tcMar>
              <w:bottom w:w="0" w:type="dxa"/>
            </w:tcMar>
            <w:vAlign w:val="center"/>
          </w:tcPr>
          <w:p>
            <w:pPr>
              <w:pStyle w:val="TableContents"/>
              <w:bidi w:val="0"/>
              <w:spacing w:before="0" w:after="283"/>
              <w:jc w:val="left"/>
              <w:rPr/>
            </w:pPr>
            <w:r>
              <w:rPr/>
              <w:t>Angry Chickz,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Restaurant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(1M USD TERM SOFR+4.75%), 8.61% Cash, 10/9/2030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10/9/2025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7,860,500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7,860,500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1.9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15301 Ventura Blvd. Building B, Suite 250, Sherman Oaks, CA 91403</w:t>
            </w:r>
          </w:p>
        </w:tc>
      </w:tr>
      <w:tr>
        <w:trPr/>
        <w:tc>
          <w:tcPr>
            <w:tcW w:w="1145" w:type="dxa"/>
            <w:tcBorders/>
            <w:shd w:fill="FFFFFF" w:val="clear"/>
            <w:tcMar>
              <w:bottom w:w="0" w:type="dxa"/>
            </w:tcMar>
            <w:vAlign w:val="center"/>
          </w:tcPr>
          <w:p>
            <w:pPr>
              <w:pStyle w:val="TableContents"/>
              <w:bidi w:val="0"/>
              <w:spacing w:before="0" w:after="283"/>
              <w:jc w:val="left"/>
              <w:rPr/>
            </w:pPr>
            <w:r>
              <w:rPr/>
              <w:t>Angry Chickz, Inc.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Restaurant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 Loan</w:t>
              <w:br/>
              <w:t>(1M USD TERM SOFR+4.75%), 8.61% Cash, 10/9/2030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10/9/2025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LFR Chicken LLC (d)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Restaurant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(1M USD TERM SOFR+4.50%), 8.36% Cash, 11/26/2030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11/19/2021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21,878,463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21,909,799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5.4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1270 N Elgin Pwky, Suite C-14, Shalimar, FL 32579</w:t>
            </w:r>
          </w:p>
        </w:tc>
      </w:tr>
      <w:tr>
        <w:trPr/>
        <w:tc>
          <w:tcPr>
            <w:tcW w:w="1145" w:type="dxa"/>
            <w:tcBorders/>
            <w:shd w:fill="FFFFFF" w:val="clear"/>
            <w:tcMar>
              <w:bottom w:w="0" w:type="dxa"/>
            </w:tcMar>
            <w:vAlign w:val="center"/>
          </w:tcPr>
          <w:p>
            <w:pPr>
              <w:pStyle w:val="TableContents"/>
              <w:bidi w:val="0"/>
              <w:spacing w:before="0" w:after="283"/>
              <w:jc w:val="left"/>
              <w:rPr/>
            </w:pPr>
            <w:r>
              <w:rPr/>
              <w:t>LFR Chicken LLC (d)(j)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Restaurant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 Loan</w:t>
              <w:br/>
              <w:t>(1M USD TERM SOFR+4.50%), 8.36% Cash, 11/26/2030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11/19/2021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18,000,000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17,947,066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17,926,200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4.3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LFR Chicken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Restaurant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Series B Preferred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11/19/2021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497,183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1,857,808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Restaurant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48,686,029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49,554,307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12.0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SAI Systems Health,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Revenue Cycle Management &amp; Related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SOFR+5.00%), 11.57% Cash, 11/24/2030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11/24/2025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28,000,000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27,825,000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27,825,000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6.7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5 Research Dive, 2nd Floor, Shelton, Ct, 06484</w:t>
            </w:r>
          </w:p>
        </w:tc>
      </w:tr>
      <w:tr>
        <w:trPr/>
        <w:tc>
          <w:tcPr>
            <w:tcW w:w="1145" w:type="dxa"/>
            <w:tcBorders/>
            <w:shd w:fill="FFFFFF" w:val="clear"/>
            <w:tcMar>
              <w:bottom w:w="0" w:type="dxa"/>
            </w:tcMar>
            <w:vAlign w:val="center"/>
          </w:tcPr>
          <w:p>
            <w:pPr>
              <w:pStyle w:val="TableContents"/>
              <w:bidi w:val="0"/>
              <w:spacing w:before="0" w:after="283"/>
              <w:jc w:val="left"/>
              <w:rPr/>
            </w:pPr>
            <w:r>
              <w:rPr/>
              <w:t>SAI Systems Health, LLC (j)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Revenue Cycle Management &amp; Related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Delayed Draw Term Loan</w:t>
              <w:br/>
              <w:t>(3M USD TERM SOFR+5.00%), 11.57% Cash, 11/24/2030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11/24/2025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0.0</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SAI Systems Health Topco,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Revenue Cycle Management &amp; Related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Class A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11/24/2025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Revenue Cycle Management &amp; Related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28,175,000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28,175,000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6.8</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Avionte Holdings, LLC (h)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Staffing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Class A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1/8/2014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2,391,803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0.6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4300 MarketPointe Dr., Suite 250, Bloomington, MN 55435</w:t>
            </w:r>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Total Staffing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100,000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2,391,803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0.6</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AIMCO 2025-24A E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SOFR+6.10%), 10.27% Cash, 4/19/2038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4/30/2025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1,533,900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APID 2023-45A ER (a)(d)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 SOFR+5.15%), 9.32% Cash, 7/26/2038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6/5/2025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2,800,000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2,800,000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2,833,569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0.7</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APID 2017-28A DR (a)(d)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SOFR+5.00%), 9.17% Cash, 10/20/2038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7/25/2025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2,517,983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BGCLO 2025-13A D2 (a)(d)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 SOFR+4.05%), 8.22% Cash, 10/23/2038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8/7/2025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2,005,320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BSP 2016-10A C2R3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SOFR+4.10%), 8.27% Cash, 7/20/2038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7/10/2025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2,012,118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BSP 2020-21A ER2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 SOFR+4.95%), 8.74% Cash, 1/15/2039</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11/4/2025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1,505,337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BSP 2025-40A E (a)(d)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left"/>
              <w:rPr/>
            </w:pPr>
            <w:r>
              <w:rPr/>
              <w:t>First Lien Term Loan</w:t>
              <w:br/>
              <w:t>(3M USD TERM SOFR+5.25%), 9.42% Cash, 7/25/2038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5/22/2025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3,012,943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HLM 2025-26A D2 (a)(d)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80" w:type="dxa"/>
            <w:tcBorders/>
            <w:shd w:fill="FFFFFF" w:val="clear"/>
            <w:tcMar>
              <w:bottom w:w="0" w:type="dxa"/>
            </w:tcMar>
            <w:vAlign w:val="center"/>
          </w:tcPr>
          <w:p>
            <w:pPr>
              <w:pStyle w:val="TableContents"/>
              <w:bidi w:val="0"/>
              <w:spacing w:before="0" w:after="283"/>
              <w:jc w:val="left"/>
              <w:rPr/>
            </w:pPr>
            <w:r>
              <w:rPr/>
              <w:t>First Lien Term Loan</w:t>
              <w:br/>
              <w:t>(3M USD TERM SOFR+4.10%), 8.27% Cash, 7/20/2038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7/18/2025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2,007,944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660" w:type="dxa"/>
        <w:jc w:val="left"/>
        <w:tblInd w:w="0" w:type="dxa"/>
        <w:tblLayout w:type="fixed"/>
        <w:tblCellMar>
          <w:top w:w="0" w:type="dxa"/>
          <w:left w:w="0" w:type="dxa"/>
          <w:bottom w:w="28" w:type="dxa"/>
          <w:right w:w="0" w:type="dxa"/>
        </w:tblCellMar>
      </w:tblPr>
      <w:tblGrid>
        <w:gridCol w:w="1145"/>
        <w:gridCol w:w="90"/>
        <w:gridCol w:w="1025"/>
        <w:gridCol w:w="90"/>
        <w:gridCol w:w="1175"/>
        <w:gridCol w:w="90"/>
        <w:gridCol w:w="1205"/>
        <w:gridCol w:w="90"/>
        <w:gridCol w:w="170"/>
        <w:gridCol w:w="1010"/>
        <w:gridCol w:w="90"/>
        <w:gridCol w:w="90"/>
        <w:gridCol w:w="90"/>
        <w:gridCol w:w="1130"/>
        <w:gridCol w:w="90"/>
        <w:gridCol w:w="90"/>
        <w:gridCol w:w="90"/>
        <w:gridCol w:w="1130"/>
        <w:gridCol w:w="90"/>
        <w:gridCol w:w="90"/>
        <w:gridCol w:w="109"/>
        <w:gridCol w:w="571"/>
        <w:gridCol w:w="245"/>
        <w:gridCol w:w="90"/>
        <w:gridCol w:w="1575"/>
      </w:tblGrid>
      <w:tr>
        <w:trPr/>
        <w:tc>
          <w:tcPr>
            <w:tcW w:w="1145"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7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145" w:type="dxa"/>
            <w:tcBorders/>
            <w:shd w:fill="CCEEFF" w:val="clear"/>
            <w:tcMar>
              <w:bottom w:w="0" w:type="dxa"/>
            </w:tcMar>
            <w:vAlign w:val="center"/>
          </w:tcPr>
          <w:p>
            <w:pPr>
              <w:pStyle w:val="TableContents"/>
              <w:bidi w:val="0"/>
              <w:spacing w:before="0" w:after="283"/>
              <w:jc w:val="left"/>
              <w:rPr/>
            </w:pPr>
            <w:r>
              <w:rPr/>
              <w:t>NMC CLO-4A 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SOFR+6.91%), 11.08% Cash, 3/20/2038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1,021,200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NMC CLO-7A E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SOFR+5.00%), 9.17% Cash, 3/31/2038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3/13/2025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1,000,283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tcBorders/>
            <w:shd w:fill="CCEEFF" w:val="clear"/>
            <w:tcMar>
              <w:bottom w:w="0" w:type="dxa"/>
            </w:tcMar>
            <w:vAlign w:val="center"/>
          </w:tcPr>
          <w:p>
            <w:pPr>
              <w:pStyle w:val="TableContents"/>
              <w:bidi w:val="0"/>
              <w:spacing w:before="0" w:after="283"/>
              <w:jc w:val="left"/>
              <w:rPr/>
            </w:pPr>
            <w:r>
              <w:rPr/>
              <w:t>NMC CLO-5A ER (a)(d)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SOFR+5.85%), 10.02% Cash, 7/20/2036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6/30/2025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3,009,600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NMC CLO-3A D2R (a)(d)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SOFR+4.10%), 8.27% Cash, 10/20/2038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8/4/2025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2,250,000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2,270,036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OAKC 2016-13A ER2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SOFR+5.75%), 9.92% Cash, 10/21/2037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4/10/2025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976,250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1,008,200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tcBorders/>
            <w:shd w:fill="FFFFFF" w:val="clear"/>
            <w:tcMar>
              <w:bottom w:w="0" w:type="dxa"/>
            </w:tcMar>
            <w:vAlign w:val="center"/>
          </w:tcPr>
          <w:p>
            <w:pPr>
              <w:pStyle w:val="TableContents"/>
              <w:bidi w:val="0"/>
              <w:spacing w:before="0" w:after="283"/>
              <w:jc w:val="left"/>
              <w:rPr/>
            </w:pPr>
            <w:r>
              <w:rPr/>
              <w:t>OAKC 2025-22A E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SOFR+5.55%), 9.72% Cash, 7/20/2038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5/9/2025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1,265,430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OAKC 2020-7A D2R2 (a)(d)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SOFR+4.05%), 8.22% Cash, 7/19/2038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6/18/2025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3,264,225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OCP 2025-43A E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SOFR+6.50%), 10.67% Cash, 7/20/2038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4/23/2025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1,022,005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0.2</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5" w:type="dxa"/>
            <w:tcBorders/>
            <w:shd w:fill="CCEEFF" w:val="clear"/>
            <w:tcMar>
              <w:bottom w:w="0" w:type="dxa"/>
            </w:tcMar>
            <w:vAlign w:val="center"/>
          </w:tcPr>
          <w:p>
            <w:pPr>
              <w:pStyle w:val="TableContents"/>
              <w:bidi w:val="0"/>
              <w:spacing w:before="0" w:after="283"/>
              <w:jc w:val="left"/>
              <w:rPr/>
            </w:pPr>
            <w:r>
              <w:rPr/>
              <w:t>OCP 2023-28A (a)(d)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SOFR+5.25%), 9.42% Cash, 7/16/2038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6/18/2025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3,026,577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OCP 2016-11A D2R3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SOFR+4.10%), 8.27% Cash, 7/26/2038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6/26/2025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1,507,953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145" w:type="dxa"/>
            <w:tcBorders/>
            <w:shd w:fill="CCEEFF" w:val="clear"/>
            <w:tcMar>
              <w:bottom w:w="0" w:type="dxa"/>
            </w:tcMar>
            <w:vAlign w:val="center"/>
          </w:tcPr>
          <w:p>
            <w:pPr>
              <w:pStyle w:val="TableContents"/>
              <w:bidi w:val="0"/>
              <w:spacing w:before="0" w:after="283"/>
              <w:jc w:val="left"/>
              <w:rPr/>
            </w:pPr>
            <w:r>
              <w:rPr/>
              <w:t>POST 2023-1A D2R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SOFR+3.95%), 7.74% Cash, 10/20/2038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10/17/2025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1,001,929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REGT6 2016-1A ER3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SOFR+5.45%), 9.24% Cash, 10/20/2038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9/12/2025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1,509,149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0.4</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REGT23 2021-1A D2R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SOFR+4.00%), 7.79% Cash, 10/15/2038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10/30/2025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2,003,834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TREST 2017-1A ERR (a)</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SOFR+5.95%), 10.12% Cash, 7/25/2037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3/7/2025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1,250,000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1,257,125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1,268,026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571" w:type="dxa"/>
            <w:tcBorders/>
            <w:shd w:fill="FFFFFF" w:val="clear"/>
            <w:tcMar>
              <w:bottom w:w="0" w:type="dxa"/>
            </w:tcMar>
            <w:vAlign w:val="center"/>
          </w:tcPr>
          <w:p>
            <w:pPr>
              <w:pStyle w:val="TableContents"/>
              <w:bidi w:val="0"/>
              <w:spacing w:before="0" w:after="283"/>
              <w:jc w:val="right"/>
              <w:rPr/>
            </w:pPr>
            <w:r>
              <w:rPr/>
              <w:t>0.3</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WBOX 2023-4A ER (a)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SOFR+6.48%), 10.65% Cash, 4/20/2036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4/10/2025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1,970,000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2,022,000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571"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FFFFFF" w:val="clear"/>
            <w:tcMar>
              <w:bottom w:w="0" w:type="dxa"/>
            </w:tcMar>
            <w:vAlign w:val="center"/>
          </w:tcPr>
          <w:p>
            <w:pPr>
              <w:pStyle w:val="TableContents"/>
              <w:bidi w:val="0"/>
              <w:spacing w:before="0" w:after="283"/>
              <w:jc w:val="left"/>
              <w:rPr/>
            </w:pPr>
            <w:r>
              <w:rPr/>
              <w:t>WBOX 2025-5A D2 (a)(d)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SOFR+4.10%), 8.27% Cash, 7/20/2038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6/24/2025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010" w:type="dxa"/>
            <w:tcBorders/>
            <w:shd w:fill="FFFFFF" w:val="clear"/>
            <w:tcMar>
              <w:bottom w:w="0" w:type="dxa"/>
            </w:tcM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130" w:type="dxa"/>
            <w:tcBorders>
              <w:bottom w:val="single" w:sz="8" w:space="0" w:color="000000"/>
            </w:tcBorders>
            <w:shd w:fill="FFFFFF" w:val="clear"/>
            <w:vAlign w:val="center"/>
          </w:tcPr>
          <w:p>
            <w:pPr>
              <w:pStyle w:val="TableContents"/>
              <w:bidi w:val="0"/>
              <w:spacing w:before="0" w:after="283"/>
              <w:jc w:val="right"/>
              <w:rPr/>
            </w:pPr>
            <w:r>
              <w:rPr/>
              <w:t>2,003,200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571" w:type="dxa"/>
            <w:tcBorders>
              <w:bottom w:val="single" w:sz="8" w:space="0" w:color="000000"/>
            </w:tcBorders>
            <w:shd w:fill="FFFFFF" w:val="clear"/>
            <w:vAlign w:val="center"/>
          </w:tcPr>
          <w:p>
            <w:pPr>
              <w:pStyle w:val="TableContents"/>
              <w:bidi w:val="0"/>
              <w:spacing w:before="0" w:after="283"/>
              <w:jc w:val="right"/>
              <w:rPr/>
            </w:pPr>
            <w:r>
              <w:rPr/>
              <w:t>0.5</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Total 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45,233,375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45,632,761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CCEEFF" w:val="clear"/>
            <w:vAlign w:val="center"/>
          </w:tcPr>
          <w:p>
            <w:pPr>
              <w:pStyle w:val="TableContents"/>
              <w:bidi w:val="0"/>
              <w:spacing w:before="0" w:after="283"/>
              <w:jc w:val="left"/>
              <w:rPr/>
            </w:pPr>
            <w:r>
              <w:rPr/>
              <w:t> </w:t>
            </w:r>
          </w:p>
        </w:tc>
        <w:tc>
          <w:tcPr>
            <w:tcW w:w="571" w:type="dxa"/>
            <w:tcBorders>
              <w:bottom w:val="single" w:sz="8" w:space="0" w:color="000000"/>
            </w:tcBorders>
            <w:shd w:fill="CCEEFF" w:val="clear"/>
            <w:vAlign w:val="center"/>
          </w:tcPr>
          <w:p>
            <w:pPr>
              <w:pStyle w:val="TableContents"/>
              <w:bidi w:val="0"/>
              <w:spacing w:before="0" w:after="283"/>
              <w:jc w:val="right"/>
              <w:rPr/>
            </w:pPr>
            <w:r>
              <w:rPr/>
              <w:t>11.0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2175" w:type="dxa"/>
        <w:jc w:val="left"/>
        <w:tblInd w:w="0" w:type="dxa"/>
        <w:tblLayout w:type="fixed"/>
        <w:tblCellMar>
          <w:top w:w="0" w:type="dxa"/>
          <w:left w:w="0" w:type="dxa"/>
          <w:bottom w:w="28" w:type="dxa"/>
          <w:right w:w="0" w:type="dxa"/>
        </w:tblCellMar>
      </w:tblPr>
      <w:tblGrid>
        <w:gridCol w:w="1400"/>
        <w:gridCol w:w="90"/>
        <w:gridCol w:w="1340"/>
        <w:gridCol w:w="90"/>
        <w:gridCol w:w="1175"/>
        <w:gridCol w:w="90"/>
        <w:gridCol w:w="1205"/>
        <w:gridCol w:w="90"/>
        <w:gridCol w:w="170"/>
        <w:gridCol w:w="1130"/>
        <w:gridCol w:w="90"/>
        <w:gridCol w:w="90"/>
        <w:gridCol w:w="90"/>
        <w:gridCol w:w="1250"/>
        <w:gridCol w:w="90"/>
        <w:gridCol w:w="90"/>
        <w:gridCol w:w="90"/>
        <w:gridCol w:w="1250"/>
        <w:gridCol w:w="90"/>
        <w:gridCol w:w="90"/>
        <w:gridCol w:w="90"/>
        <w:gridCol w:w="590"/>
        <w:gridCol w:w="290"/>
        <w:gridCol w:w="90"/>
        <w:gridCol w:w="1115"/>
      </w:tblGrid>
      <w:tr>
        <w:trPr/>
        <w:tc>
          <w:tcPr>
            <w:tcW w:w="1400"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400" w:type="dxa"/>
            <w:tcBorders/>
            <w:shd w:fill="CCEEFF" w:val="clear"/>
            <w:tcMar>
              <w:bottom w:w="0" w:type="dxa"/>
            </w:tcMar>
            <w:vAlign w:val="center"/>
          </w:tcPr>
          <w:p>
            <w:pPr>
              <w:pStyle w:val="TableContents"/>
              <w:bidi w:val="0"/>
              <w:spacing w:before="0" w:after="283"/>
              <w:jc w:val="left"/>
              <w:rPr/>
            </w:pPr>
            <w:r>
              <w:rPr/>
              <w:t>StockIQ Technologies,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Supply Chain Planning Software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SOFR+5.25%), 9.42% Cash,3/26/2030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3/25/2025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9,919,662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9,977,000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2.4</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280 E. 1st Avenue, Suite 1838, Broomfield, CO 80020</w:t>
            </w:r>
          </w:p>
        </w:tc>
      </w:tr>
      <w:tr>
        <w:trPr/>
        <w:tc>
          <w:tcPr>
            <w:tcW w:w="1400" w:type="dxa"/>
            <w:tcBorders/>
            <w:shd w:fill="FFFFFF" w:val="clear"/>
            <w:tcMar>
              <w:bottom w:w="0" w:type="dxa"/>
            </w:tcMar>
            <w:vAlign w:val="center"/>
          </w:tcPr>
          <w:p>
            <w:pPr>
              <w:pStyle w:val="TableContents"/>
              <w:bidi w:val="0"/>
              <w:spacing w:before="0" w:after="283"/>
              <w:jc w:val="left"/>
              <w:rPr/>
            </w:pPr>
            <w:r>
              <w:rPr/>
              <w:t>StockIQ Technologies, LLC (j)</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Supply Chain Planning Software</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Delayed Draw Term Loan</w:t>
              <w:br/>
              <w:t>(3M USD TERM SOFR+5.25%), 9.42% Cash, 3/26/2030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3/25/2025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500,000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495,798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498,850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0.1</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StockIQ Technologies, LLC (h)</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Supply Chain Planning Software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Class A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3/25/2025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217,811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0.1</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Total Supply Chain Planning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10,615,460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10,693,661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2.6</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JDXpert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Talent Acquisition Software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SOFR+8.50%), 12.93% Cash, 5/2/2027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5/2/2022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6,000,000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5,976,444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1.6</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801 Corporate Center Drive, Suite 130, Raleigh, NC 27607</w:t>
            </w:r>
          </w:p>
        </w:tc>
      </w:tr>
      <w:tr>
        <w:trPr/>
        <w:tc>
          <w:tcPr>
            <w:tcW w:w="1400" w:type="dxa"/>
            <w:tcBorders/>
            <w:shd w:fill="FFFFFF" w:val="clear"/>
            <w:tcMar>
              <w:bottom w:w="0" w:type="dxa"/>
            </w:tcMar>
            <w:vAlign w:val="center"/>
          </w:tcPr>
          <w:p>
            <w:pPr>
              <w:pStyle w:val="TableContents"/>
              <w:bidi w:val="0"/>
              <w:spacing w:before="0" w:after="283"/>
              <w:jc w:val="left"/>
              <w:rPr/>
            </w:pPr>
            <w:r>
              <w:rPr/>
              <w:t>JDXpert (d)</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Talent Acquisition Software</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Delayed Draw Term Loan</w:t>
              <w:br/>
              <w:t>(3M USD TERM SOFR+8.50%), 12.93% Cash, 5/2/2027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5/2/2022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995,372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0.2</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JDXpert (j)</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Talent Acquisition Software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Delayed Draw Term Loan</w:t>
              <w:br/>
              <w:t>(3M USD TERM SOFR+8.50%), 12.93% Cash, 5/2/2027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5/2/2022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497,293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pPr>
            <w:r>
              <w:rPr/>
              <w:t>Jobvite, Inc.</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Talent Acquisition Software</w:t>
            </w:r>
          </w:p>
        </w:tc>
        <w:tc>
          <w:tcPr>
            <w:tcW w:w="9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(3M USD TERM SOFR+7.50%), 11.67% Cash, 8/5/2028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8/5/2022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20,000,000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19,918,404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19,830,000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4.8</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20N. Meridian St., Suite #300, Indianapolis, IN 46204</w:t>
            </w:r>
          </w:p>
        </w:tc>
      </w:tr>
      <w:tr>
        <w:trPr/>
        <w:tc>
          <w:tcPr>
            <w:tcW w:w="14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Total Talent Acquisition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27,387,513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27,330,000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6.7</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VetnCare MSO,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Veterinary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Delayed Draw Term Loan</w:t>
              <w:br/>
              <w:t>(3M USD TERM SOFR+5.75%), 9.92% Cash, 5/12/2028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5/12/2023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13,290,655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13,231,743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13,361,095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3.2</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160 Franklin St #300, Oakland, CA 94607</w:t>
            </w:r>
          </w:p>
        </w:tc>
      </w:tr>
      <w:tr>
        <w:trPr/>
        <w:tc>
          <w:tcPr>
            <w:tcW w:w="140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Total Veterinary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13,231,743</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13,361,095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3.2</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b/>
              </w:rPr>
            </w:pPr>
            <w:r>
              <w:rPr>
                <w:b/>
              </w:rPr>
              <w:t>Sub Total Non-control/Non-affiliate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909,610,785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b/>
              </w:rPr>
            </w:pPr>
            <w:r>
              <w:rPr>
                <w:b/>
              </w:rPr>
              <w:t>921,123,120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223.7</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b/>
              </w:rPr>
            </w:pPr>
            <w:r>
              <w:rPr>
                <w:b/>
              </w:rPr>
              <w:t>Affiliate investments - 12.8% (b)</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ETU Holdings, Inc. (f)</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Corporate Education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w:t>
              <w:br/>
              <w:t>(3M USD TERM SOFR+9.00%), 13.32% Cash, 8/18/2027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8/18/2022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7,069,574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1.7</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5th Floor, The Tower, Trinity Technology &amp; Enterprise Campus, Pearse Street, Dublin D02 K1W7</w:t>
            </w:r>
          </w:p>
        </w:tc>
      </w:tr>
      <w:tr>
        <w:trPr/>
        <w:tc>
          <w:tcPr>
            <w:tcW w:w="1400" w:type="dxa"/>
            <w:tcBorders/>
            <w:shd w:fill="FFFFFF" w:val="clear"/>
            <w:tcMar>
              <w:bottom w:w="0" w:type="dxa"/>
            </w:tcMar>
            <w:vAlign w:val="center"/>
          </w:tcPr>
          <w:p>
            <w:pPr>
              <w:pStyle w:val="TableContents"/>
              <w:bidi w:val="0"/>
              <w:spacing w:before="0" w:after="283"/>
              <w:jc w:val="left"/>
              <w:rPr/>
            </w:pPr>
            <w:r>
              <w:rPr/>
              <w:t>ETU Holdings, Inc. (f)</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Corporate Education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Second Lien Term Loan</w:t>
              <w:br/>
              <w:t>15.00% PIK, 2/18/2028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8/18/2022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7,967,627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7,942,170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7,637,768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1.8</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ETU Holdings, Inc. (f)(h)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Corporate Education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Series B Preferred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11/21/2025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854,300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pPr>
            <w:r>
              <w:rPr/>
              <w:t>ETU Holdings, Inc. (f)(h)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Corporate Education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Series C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11/21/2025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730,280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730,280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1250" w:type="dxa"/>
            <w:tcBorders>
              <w:bottom w:val="single" w:sz="8" w:space="0" w:color="000000"/>
            </w:tcBorders>
            <w:shd w:fill="FFFFFF" w:val="clear"/>
            <w:vAlign w:val="center"/>
          </w:tcPr>
          <w:p>
            <w:pPr>
              <w:pStyle w:val="TableContents"/>
              <w:bidi w:val="0"/>
              <w:spacing w:before="0" w:after="283"/>
              <w:jc w:val="right"/>
              <w:rPr/>
            </w:pPr>
            <w:r>
              <w:rPr/>
              <w:t>730,280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0.2</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Total Corporate Education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18,742,024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1250" w:type="dxa"/>
            <w:tcBorders>
              <w:bottom w:val="single" w:sz="8" w:space="0" w:color="000000"/>
            </w:tcBorders>
            <w:shd w:fill="CCEEFF" w:val="clear"/>
            <w:vAlign w:val="center"/>
          </w:tcPr>
          <w:p>
            <w:pPr>
              <w:pStyle w:val="TableContents"/>
              <w:bidi w:val="0"/>
              <w:spacing w:before="0" w:after="283"/>
              <w:jc w:val="right"/>
              <w:rPr/>
            </w:pPr>
            <w:r>
              <w:rPr/>
              <w:t>15,468,048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3.7</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pPr>
            <w:r>
              <w:rPr/>
              <w:t>Axero Holdings, LLC (f)</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Employee Collaboration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First Lien Term Loan</w:t>
              <w:br/>
              <w:t>4.50% Cash, (3M USD TERM SOFR + 2.50%) PIK, 12/31/2027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6/30/2021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16,781,389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16,766,466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16,840,124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4.2</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ind w:left="0" w:right="0" w:hanging="180"/>
              <w:jc w:val="left"/>
              <w:rPr/>
            </w:pPr>
            <w:r>
              <w:rPr/>
              <w:t>401 Park Avenue South, 10th Floor, New York, NY 10016</w:t>
            </w:r>
          </w:p>
        </w:tc>
      </w:tr>
      <w:tr>
        <w:trPr/>
        <w:tc>
          <w:tcPr>
            <w:tcW w:w="1400" w:type="dxa"/>
            <w:tcBorders/>
            <w:shd w:fill="CCEEFF" w:val="clear"/>
            <w:tcMar>
              <w:bottom w:w="0" w:type="dxa"/>
            </w:tcMar>
            <w:vAlign w:val="center"/>
          </w:tcPr>
          <w:p>
            <w:pPr>
              <w:pStyle w:val="TableContents"/>
              <w:bidi w:val="0"/>
              <w:spacing w:before="0" w:after="283"/>
              <w:jc w:val="left"/>
              <w:rPr/>
            </w:pPr>
            <w:r>
              <w:rPr/>
              <w:t>Axero Holdings, LLC (f)</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Employee Collaboration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Delayed Draw Term Loan</w:t>
              <w:br/>
              <w:t>4.50% Cash, (3M USD TERM SOFR + 2.50%) PIK, 12/31/2027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6/30/2021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1,190,937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1,187,366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1,195,105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0.3</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pPr>
            <w:r>
              <w:rPr/>
              <w:t>Axero Holdings, LLC (f)(j)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Employee Collaboration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Revolving Credit Facility</w:t>
              <w:br/>
              <w:t>4.50% Cash, (3M USD TERM SOFR + 2.50%) PIK, 12/31/2027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2/3/2022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295" w:type="dxa"/>
        <w:jc w:val="left"/>
        <w:tblInd w:w="0" w:type="dxa"/>
        <w:tblLayout w:type="fixed"/>
        <w:tblCellMar>
          <w:top w:w="0" w:type="dxa"/>
          <w:left w:w="0" w:type="dxa"/>
          <w:bottom w:w="28" w:type="dxa"/>
          <w:right w:w="0" w:type="dxa"/>
        </w:tblCellMar>
      </w:tblPr>
      <w:tblGrid>
        <w:gridCol w:w="1850"/>
        <w:gridCol w:w="90"/>
        <w:gridCol w:w="1340"/>
        <w:gridCol w:w="90"/>
        <w:gridCol w:w="1340"/>
        <w:gridCol w:w="90"/>
        <w:gridCol w:w="1205"/>
        <w:gridCol w:w="90"/>
        <w:gridCol w:w="170"/>
        <w:gridCol w:w="1250"/>
        <w:gridCol w:w="90"/>
        <w:gridCol w:w="90"/>
        <w:gridCol w:w="170"/>
        <w:gridCol w:w="1430"/>
        <w:gridCol w:w="90"/>
        <w:gridCol w:w="90"/>
        <w:gridCol w:w="170"/>
        <w:gridCol w:w="1430"/>
        <w:gridCol w:w="90"/>
        <w:gridCol w:w="90"/>
        <w:gridCol w:w="90"/>
        <w:gridCol w:w="590"/>
        <w:gridCol w:w="290"/>
        <w:gridCol w:w="90"/>
        <w:gridCol w:w="980"/>
      </w:tblGrid>
      <w:tr>
        <w:trPr/>
        <w:tc>
          <w:tcPr>
            <w:tcW w:w="1850" w:type="dxa"/>
            <w:tcBorders>
              <w:bottom w:val="single" w:sz="8"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 xml:space="preserve">Investment </w:t>
              <w:br/>
              <w:t>Interest Rate/</w:t>
              <w:br/>
              <w:t>Maturity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rPr>
            </w:pPr>
            <w:r>
              <w:rPr>
                <w:b/>
              </w:rPr>
              <w:t>Original</w:t>
              <w:br/>
              <w:t>Acquisition</w:t>
              <w:br/>
              <w:t>Date</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8" w:space="0" w:color="000000"/>
            </w:tcBorders>
            <w:vAlign w:val="center"/>
          </w:tcPr>
          <w:p>
            <w:pPr>
              <w:pStyle w:val="TableContents"/>
              <w:bidi w:val="0"/>
              <w:spacing w:before="0" w:after="283"/>
              <w:jc w:val="center"/>
              <w:rPr>
                <w:b/>
              </w:rPr>
            </w:pPr>
            <w:r>
              <w:rPr>
                <w:b/>
              </w:rPr>
              <w:t>Principal/</w:t>
              <w:br/>
              <w:t>Number of Shares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0" w:type="dxa"/>
            <w:gridSpan w:val="2"/>
            <w:tcBorders>
              <w:bottom w:val="single" w:sz="8" w:space="0" w:color="000000"/>
            </w:tcBorders>
            <w:vAlign w:val="center"/>
          </w:tcPr>
          <w:p>
            <w:pPr>
              <w:pStyle w:val="TableContents"/>
              <w:bidi w:val="0"/>
              <w:spacing w:before="0" w:after="283"/>
              <w:jc w:val="center"/>
              <w:rPr>
                <w:b/>
              </w:rPr>
            </w:pPr>
            <w:r>
              <w:rPr>
                <w:b/>
              </w:rPr>
              <w:t>Cost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0" w:type="dxa"/>
            <w:gridSpan w:val="2"/>
            <w:tcBorders>
              <w:bottom w:val="single" w:sz="8" w:space="0" w:color="000000"/>
            </w:tcBorders>
            <w:vAlign w:val="center"/>
          </w:tcPr>
          <w:p>
            <w:pPr>
              <w:pStyle w:val="TableContents"/>
              <w:bidi w:val="0"/>
              <w:spacing w:before="0" w:after="283"/>
              <w:jc w:val="center"/>
              <w:rPr>
                <w:b/>
              </w:rPr>
            </w:pPr>
            <w:r>
              <w:rPr>
                <w:b/>
              </w:rPr>
              <w:t>Fair</w:t>
              <w:br/>
              <w:t>Value (c)</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 of</w:t>
              <w:br/>
              <w:t>Net Assets</w:t>
            </w:r>
          </w:p>
        </w:tc>
        <w:tc>
          <w:tcPr>
            <w:tcW w:w="2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ind w:left="0" w:right="0" w:hanging="180"/>
              <w:jc w:val="center"/>
              <w:rPr>
                <w:b/>
              </w:rPr>
            </w:pPr>
            <w:r>
              <w:rPr>
                <w:b/>
              </w:rPr>
              <w:t>Company Address</w:t>
            </w:r>
          </w:p>
        </w:tc>
      </w:tr>
      <w:tr>
        <w:trPr/>
        <w:tc>
          <w:tcPr>
            <w:tcW w:w="1850" w:type="dxa"/>
            <w:tcBorders/>
            <w:shd w:fill="CCEEFF" w:val="clear"/>
            <w:tcMar>
              <w:bottom w:w="0" w:type="dxa"/>
            </w:tcMar>
            <w:vAlign w:val="center"/>
          </w:tcPr>
          <w:p>
            <w:pPr>
              <w:pStyle w:val="TableContents"/>
              <w:bidi w:val="0"/>
              <w:spacing w:before="0" w:after="283"/>
              <w:jc w:val="left"/>
              <w:rPr/>
            </w:pPr>
            <w:r>
              <w:rPr/>
              <w:t>Axero Holdings, LLC (f)(h)</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Employee Collaboration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Series A Preferred Units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6/30/2021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2,055,609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2,055,609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3,987,881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50" w:type="dxa"/>
            <w:tcBorders/>
            <w:shd w:fill="FFFFFF" w:val="clear"/>
            <w:tcMar>
              <w:bottom w:w="0" w:type="dxa"/>
            </w:tcMar>
            <w:vAlign w:val="center"/>
          </w:tcPr>
          <w:p>
            <w:pPr>
              <w:pStyle w:val="TableContents"/>
              <w:bidi w:val="0"/>
              <w:spacing w:before="0" w:after="283"/>
              <w:jc w:val="left"/>
              <w:rPr/>
            </w:pPr>
            <w:r>
              <w:rPr/>
              <w:t>Axero Holdings, LLC (f)(h)</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Employee Collaboration Software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Series B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6/30/2021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2,055,609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2,055,609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6,318,879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1.5</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Total Employee Collaboration Software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22,065,050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28,341,989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7.0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SmartAC.com, LLC (f)</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HVAC Monitoring Devices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First Lien Term Loan</w:t>
              <w:br/>
              <w:t>(3M USD TERM SOFR+7.50%), 11.67% Cash, 4/7/2030</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4/7/2025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5,397,087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5,358,979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5,378,737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1.3</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5302 Egbert Street, Houston, TX 77007</w:t>
            </w:r>
          </w:p>
        </w:tc>
      </w:tr>
      <w:tr>
        <w:trPr/>
        <w:tc>
          <w:tcPr>
            <w:tcW w:w="1850" w:type="dxa"/>
            <w:tcBorders/>
            <w:shd w:fill="CCEEFF" w:val="clear"/>
            <w:tcMar>
              <w:bottom w:w="0" w:type="dxa"/>
            </w:tcMar>
            <w:vAlign w:val="center"/>
          </w:tcPr>
          <w:p>
            <w:pPr>
              <w:pStyle w:val="TableContents"/>
              <w:bidi w:val="0"/>
              <w:spacing w:before="0" w:after="283"/>
              <w:jc w:val="left"/>
              <w:rPr/>
            </w:pPr>
            <w:r>
              <w:rPr/>
              <w:t>SmartAC.com, LLC (f)(j)</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HVAC Monitoring Devices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Delayed Draw Term Loan</w:t>
              <w:br/>
              <w:t>(3M USD TERM SOFR+7.50%), 11.67% Cash, 4/7/2030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4/7/2025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SmartAC.com, LLC (f)(j)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HVAC Monitoring Devices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Series A Preferred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4/7/2025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1,262,201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2,999,999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3,110,015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0.8</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Total HVAC Monitoring Devices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8,358,978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8,488,752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2.1</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b/>
              </w:rPr>
            </w:pPr>
            <w:r>
              <w:rPr>
                <w:b/>
              </w:rPr>
              <w:t>Sub Total Affiliate investments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b/>
              </w:rPr>
            </w:pPr>
            <w:r>
              <w:rPr>
                <w:b/>
              </w:rPr>
              <w:t>49,166,052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b/>
              </w:rPr>
            </w:pPr>
            <w:r>
              <w:rPr>
                <w:b/>
              </w:rPr>
              <w:t>52,298,789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b/>
              </w:rPr>
            </w:pPr>
            <w:r>
              <w:rPr>
                <w:b/>
              </w:rPr>
              <w:t>12.8</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b/>
              </w:rPr>
            </w:pPr>
            <w:r>
              <w:rPr>
                <w:b/>
              </w:rPr>
              <w:t>Control investments - 10.3% (b)</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Zollege PBC (g)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Education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First Lien Term Loan</w:t>
              <w:br/>
              <w:t>4.84% PIK, 8/9/2027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5/11/2021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1,558,038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1,558,037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1,216,827</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0.3</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1335 E. Whitestone Blvd., Cedar Park, TX 78613</w:t>
            </w:r>
          </w:p>
        </w:tc>
      </w:tr>
      <w:tr>
        <w:trPr/>
        <w:tc>
          <w:tcPr>
            <w:tcW w:w="1850" w:type="dxa"/>
            <w:tcBorders/>
            <w:shd w:fill="CCEEFF" w:val="clear"/>
            <w:tcMar>
              <w:bottom w:w="0" w:type="dxa"/>
            </w:tcMar>
            <w:vAlign w:val="center"/>
          </w:tcPr>
          <w:p>
            <w:pPr>
              <w:pStyle w:val="TableContents"/>
              <w:bidi w:val="0"/>
              <w:spacing w:before="0" w:after="283"/>
              <w:jc w:val="left"/>
              <w:rPr/>
            </w:pPr>
            <w:r>
              <w:rPr/>
              <w:t>Zollege PBC (h)(g)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Education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Common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5/11/2021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7,731,294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558,799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7,672,251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1.9</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Total Education Services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2,116,836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8,889,078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2.2</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Pepper Palace, Inc. (k)(g)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Specialty Food Retailer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First Lien Term Loan</w:t>
              <w:br/>
              <w:t>4.42% PIK, 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6/30/2021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2,400,000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2,400,000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1,278,720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0.3</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3275 Newport Highway, Suite 5, Sevierville, TN 37876</w:t>
            </w:r>
          </w:p>
        </w:tc>
      </w:tr>
      <w:tr>
        <w:trPr/>
        <w:tc>
          <w:tcPr>
            <w:tcW w:w="1850" w:type="dxa"/>
            <w:tcBorders/>
            <w:shd w:fill="FFFFFF" w:val="clear"/>
            <w:tcMar>
              <w:bottom w:w="0" w:type="dxa"/>
            </w:tcMar>
            <w:vAlign w:val="center"/>
          </w:tcPr>
          <w:p>
            <w:pPr>
              <w:pStyle w:val="TableContents"/>
              <w:bidi w:val="0"/>
              <w:spacing w:before="0" w:after="283"/>
              <w:jc w:val="left"/>
              <w:rPr/>
            </w:pPr>
            <w:r>
              <w:rPr/>
              <w:t>Pepper Palace, Inc. (j)(k)(g)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Specialty Food Retailer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Delayed Draw Term Loan</w:t>
              <w:br/>
              <w:t>4.42% PIK, 12/31/2028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6/30/2021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400,000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400,000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213,120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0.1</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Pepper Palace, Inc. (j)(k)(g)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Specialty Food Retailer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Revolving Credit Facility</w:t>
              <w:br/>
              <w:t>4.42% PIK, 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6/30/2021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532,800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Pepper Palace, Inc. (h)(g)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Specialty Food Retailer</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Class A Units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6/30/2021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100,000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138,561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Total Specialty Food Retailer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3,938,561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2,024,640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0.5</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Saratoga Investment Corp. CLO 2013-1, Ltd. (a)(e)(g)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Other/Structured Finance Securities</w:t>
              <w:br/>
              <w:t>0.00%, 4/20/2033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1/22/2008</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111,000,000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14,410,095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0.0</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535 Madison Avenue, New York, NY, 10022</w:t>
            </w:r>
          </w:p>
        </w:tc>
      </w:tr>
      <w:tr>
        <w:trPr/>
        <w:tc>
          <w:tcPr>
            <w:tcW w:w="1850" w:type="dxa"/>
            <w:tcBorders/>
            <w:shd w:fill="CCEEFF" w:val="clear"/>
            <w:tcMar>
              <w:bottom w:w="0" w:type="dxa"/>
            </w:tcMar>
            <w:vAlign w:val="center"/>
          </w:tcPr>
          <w:p>
            <w:pPr>
              <w:pStyle w:val="TableContents"/>
              <w:bidi w:val="0"/>
              <w:spacing w:before="0" w:after="283"/>
              <w:jc w:val="left"/>
              <w:rPr/>
            </w:pPr>
            <w:r>
              <w:rPr/>
              <w:t>Saratoga Investment Corp. CLO 2013-1, Ltd. Class F-2-R-3 Note (a)(g)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Other/Structured Finance Securities</w:t>
              <w:br/>
              <w:t>(3M USD TERM SOFR+10.00%), 14.05%, 4/20/2033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8/9/2021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9,375,000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9,375,000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right"/>
              <w:rPr/>
            </w:pPr>
            <w:r>
              <w:rPr/>
              <w:t>120,938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0.0</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535 Madison Avenue, New York, NY, 10022</w:t>
            </w:r>
          </w:p>
        </w:tc>
      </w:tr>
      <w:tr>
        <w:trPr/>
        <w:tc>
          <w:tcPr>
            <w:tcW w:w="1850" w:type="dxa"/>
            <w:tcBorders/>
            <w:shd w:fill="FFFFFF" w:val="clear"/>
            <w:tcMar>
              <w:bottom w:w="0" w:type="dxa"/>
            </w:tcMar>
            <w:vAlign w:val="center"/>
          </w:tcPr>
          <w:p>
            <w:pPr>
              <w:pStyle w:val="TableContents"/>
              <w:bidi w:val="0"/>
              <w:spacing w:before="0" w:after="283"/>
              <w:jc w:val="left"/>
              <w:rPr/>
            </w:pPr>
            <w:r>
              <w:rPr/>
              <w:t>Saratoga Investment Corp. Senior Loan Fund 2022-1, Ltd. Class E-R Note (a)(g)</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Structured Finance Securities</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Other/Structured Finance Securities</w:t>
              <w:br/>
              <w:t>(3M USD TERM SOFR+7.35%), 11.14%, 10/20/2037</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9/24/2025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8,750,000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8,443,750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8,728,701</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2.1</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535 Madison Avenue, New York, NY, 10022</w:t>
            </w:r>
          </w:p>
        </w:tc>
      </w:tr>
      <w:tr>
        <w:trPr/>
        <w:tc>
          <w:tcPr>
            <w:tcW w:w="18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Total Structured Finance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32,228,845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8,849,639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2.1</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Saratoga Senior Loan Fund I JV, LLC (a)(g)(j)</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Investment Fund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Unsecured Loan</w:t>
              <w:br/>
              <w:t>10.00%, 10/20/2033</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pPr>
            <w:r>
              <w:rPr/>
              <w:t>12/17/2021</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1250" w:type="dxa"/>
            <w:tcBorders/>
            <w:shd w:fill="FFFFFF" w:val="clear"/>
            <w:tcMar>
              <w:bottom w:w="0" w:type="dxa"/>
            </w:tcMar>
            <w:vAlign w:val="center"/>
          </w:tcPr>
          <w:p>
            <w:pPr>
              <w:pStyle w:val="TableContents"/>
              <w:bidi w:val="0"/>
              <w:spacing w:before="0" w:after="283"/>
              <w:jc w:val="right"/>
              <w:rPr/>
            </w:pPr>
            <w:r>
              <w:rPr/>
              <w:t>17,618,954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17,618,954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right"/>
              <w:rPr/>
            </w:pPr>
            <w:r>
              <w:rPr/>
              <w:t>16,183,009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3.9</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535 Madison Avenue, New York, NY, 10022</w:t>
            </w:r>
          </w:p>
        </w:tc>
      </w:tr>
      <w:tr>
        <w:trPr/>
        <w:tc>
          <w:tcPr>
            <w:tcW w:w="1850" w:type="dxa"/>
            <w:tcBorders/>
            <w:shd w:fill="CCEEFF" w:val="clear"/>
            <w:tcMar>
              <w:bottom w:w="0" w:type="dxa"/>
            </w:tcMar>
            <w:vAlign w:val="center"/>
          </w:tcPr>
          <w:p>
            <w:pPr>
              <w:pStyle w:val="TableContents"/>
              <w:bidi w:val="0"/>
              <w:spacing w:before="0" w:after="283"/>
              <w:jc w:val="left"/>
              <w:rPr/>
            </w:pPr>
            <w:r>
              <w:rPr/>
              <w:t>Saratoga Senior Loan Fund I JV, LLC (a)(g)(n)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Investment Fund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Membership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pPr>
            <w:r>
              <w:rPr/>
              <w:t>12/17/2021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19,197,861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19,197,861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pPr>
            <w:r>
              <w:rPr/>
              <w:t>6,582,069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1.6</w:t>
            </w:r>
          </w:p>
        </w:tc>
        <w:tc>
          <w:tcPr>
            <w:tcW w:w="29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535 Madison Avenue, New York, NY, 10022</w:t>
            </w:r>
          </w:p>
        </w:tc>
      </w:tr>
      <w:tr>
        <w:trPr/>
        <w:tc>
          <w:tcPr>
            <w:tcW w:w="185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Total Investment Fund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36,816,815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 </w:t>
            </w:r>
          </w:p>
        </w:tc>
        <w:tc>
          <w:tcPr>
            <w:tcW w:w="1430" w:type="dxa"/>
            <w:tcBorders>
              <w:bottom w:val="single" w:sz="8" w:space="0" w:color="000000"/>
            </w:tcBorders>
            <w:shd w:fill="FFFFFF" w:val="clear"/>
            <w:vAlign w:val="center"/>
          </w:tcPr>
          <w:p>
            <w:pPr>
              <w:pStyle w:val="TableContents"/>
              <w:bidi w:val="0"/>
              <w:spacing w:before="0" w:after="283"/>
              <w:jc w:val="right"/>
              <w:rPr/>
            </w:pPr>
            <w:r>
              <w:rPr/>
              <w:t>22,765,078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FFFFFF" w:val="clear"/>
            <w:vAlign w:val="center"/>
          </w:tcPr>
          <w:p>
            <w:pPr>
              <w:pStyle w:val="TableContents"/>
              <w:bidi w:val="0"/>
              <w:spacing w:before="0" w:after="283"/>
              <w:jc w:val="left"/>
              <w:rPr/>
            </w:pPr>
            <w:r>
              <w:rPr/>
              <w:t> </w:t>
            </w:r>
          </w:p>
        </w:tc>
        <w:tc>
          <w:tcPr>
            <w:tcW w:w="590" w:type="dxa"/>
            <w:tcBorders>
              <w:bottom w:val="single" w:sz="8" w:space="0" w:color="000000"/>
            </w:tcBorders>
            <w:shd w:fill="FFFFFF" w:val="clear"/>
            <w:vAlign w:val="center"/>
          </w:tcPr>
          <w:p>
            <w:pPr>
              <w:pStyle w:val="TableContents"/>
              <w:bidi w:val="0"/>
              <w:spacing w:before="0" w:after="283"/>
              <w:jc w:val="right"/>
              <w:rPr/>
            </w:pPr>
            <w:r>
              <w:rPr/>
              <w:t>5.5</w:t>
            </w:r>
          </w:p>
        </w:tc>
        <w:tc>
          <w:tcPr>
            <w:tcW w:w="29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b/>
              </w:rPr>
            </w:pPr>
            <w:r>
              <w:rPr>
                <w:b/>
              </w:rPr>
              <w:t>Sub Total Control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75,101,057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430" w:type="dxa"/>
            <w:tcBorders>
              <w:bottom w:val="single" w:sz="8" w:space="0" w:color="000000"/>
            </w:tcBorders>
            <w:shd w:fill="CCEEFF" w:val="clear"/>
            <w:vAlign w:val="center"/>
          </w:tcPr>
          <w:p>
            <w:pPr>
              <w:pStyle w:val="TableContents"/>
              <w:bidi w:val="0"/>
              <w:spacing w:before="0" w:after="283"/>
              <w:jc w:val="right"/>
              <w:rPr>
                <w:b/>
              </w:rPr>
            </w:pPr>
            <w:r>
              <w:rPr>
                <w:b/>
              </w:rPr>
              <w:t>42,528,435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b/>
              </w:rPr>
            </w:pPr>
            <w:r>
              <w:rPr>
                <w:b/>
              </w:rPr>
              <w:t>10.3</w:t>
            </w:r>
          </w:p>
        </w:tc>
        <w:tc>
          <w:tcPr>
            <w:tcW w:w="290" w:type="dxa"/>
            <w:tcBorders/>
            <w:shd w:fill="CCEEFF" w:val="clear"/>
            <w:tcMar>
              <w:bottom w:w="0" w:type="dxa"/>
            </w:tcMar>
            <w:vAlign w:val="center"/>
          </w:tcPr>
          <w:p>
            <w:pPr>
              <w:pStyle w:val="TableContents"/>
              <w:bidi w:val="0"/>
              <w:spacing w:before="0" w:after="283"/>
              <w:jc w:val="left"/>
              <w:rPr>
                <w:b/>
              </w:rPr>
            </w:pPr>
            <w:r>
              <w:rPr>
                <w:b/>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b/>
              </w:rPr>
            </w:pPr>
            <w:r>
              <w:rPr>
                <w:b/>
              </w:rPr>
              <w:t>TOTAL INVESTMENTS - 245.9% (b)</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righ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430" w:type="dxa"/>
            <w:tcBorders>
              <w:bottom w:val="double" w:sz="6" w:space="0" w:color="000000"/>
            </w:tcBorders>
            <w:shd w:fill="FFFFFF" w:val="clear"/>
            <w:vAlign w:val="center"/>
          </w:tcPr>
          <w:p>
            <w:pPr>
              <w:pStyle w:val="TableContents"/>
              <w:bidi w:val="0"/>
              <w:spacing w:before="0" w:after="283"/>
              <w:jc w:val="right"/>
              <w:rPr>
                <w:b/>
              </w:rPr>
            </w:pPr>
            <w:r>
              <w:rPr>
                <w:b/>
              </w:rPr>
              <w:t>1,033,877,894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1430" w:type="dxa"/>
            <w:tcBorders>
              <w:bottom w:val="double" w:sz="6" w:space="0" w:color="000000"/>
            </w:tcBorders>
            <w:shd w:fill="FFFFFF" w:val="clear"/>
            <w:vAlign w:val="center"/>
          </w:tcPr>
          <w:p>
            <w:pPr>
              <w:pStyle w:val="TableContents"/>
              <w:bidi w:val="0"/>
              <w:spacing w:before="0" w:after="283"/>
              <w:jc w:val="right"/>
              <w:rPr>
                <w:b/>
              </w:rPr>
            </w:pPr>
            <w:r>
              <w:rPr>
                <w:b/>
              </w:rPr>
              <w:t>1,015,950,344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FFFFFF" w:val="clear"/>
            <w:vAlign w:val="center"/>
          </w:tcPr>
          <w:p>
            <w:pPr>
              <w:pStyle w:val="TableContents"/>
              <w:bidi w:val="0"/>
              <w:spacing w:before="0" w:after="283"/>
              <w:jc w:val="left"/>
              <w:rPr/>
            </w:pPr>
            <w:r>
              <w:rPr/>
              <w:t> </w:t>
            </w:r>
          </w:p>
        </w:tc>
        <w:tc>
          <w:tcPr>
            <w:tcW w:w="590" w:type="dxa"/>
            <w:tcBorders>
              <w:bottom w:val="double" w:sz="6" w:space="0" w:color="000000"/>
            </w:tcBorders>
            <w:shd w:fill="FFFFFF" w:val="clear"/>
            <w:vAlign w:val="center"/>
          </w:tcPr>
          <w:p>
            <w:pPr>
              <w:pStyle w:val="TableContents"/>
              <w:bidi w:val="0"/>
              <w:spacing w:before="0" w:after="283"/>
              <w:jc w:val="right"/>
              <w:rPr>
                <w:b/>
              </w:rPr>
            </w:pPr>
            <w:r>
              <w:rPr>
                <w:b/>
              </w:rPr>
              <w:t>245.9</w:t>
            </w:r>
          </w:p>
        </w:tc>
        <w:tc>
          <w:tcPr>
            <w:tcW w:w="290" w:type="dxa"/>
            <w:tcBorders/>
            <w:shd w:fill="FFFFFF" w:val="clear"/>
            <w:tcMar>
              <w:bottom w:w="0" w:type="dxa"/>
            </w:tcMar>
            <w:vAlign w:val="center"/>
          </w:tcPr>
          <w:p>
            <w:pPr>
              <w:pStyle w:val="TableContents"/>
              <w:bidi w:val="0"/>
              <w:spacing w:before="0" w:after="283"/>
              <w:jc w:val="left"/>
              <w:rPr>
                <w:b/>
              </w:rPr>
            </w:pPr>
            <w:r>
              <w:rPr>
                <w:b/>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0"/>
        <w:gridCol w:w="90"/>
        <w:gridCol w:w="90"/>
        <w:gridCol w:w="1250"/>
        <w:gridCol w:w="90"/>
        <w:gridCol w:w="90"/>
        <w:gridCol w:w="170"/>
        <w:gridCol w:w="1250"/>
        <w:gridCol w:w="90"/>
        <w:gridCol w:w="90"/>
        <w:gridCol w:w="170"/>
        <w:gridCol w:w="1250"/>
        <w:gridCol w:w="90"/>
        <w:gridCol w:w="90"/>
        <w:gridCol w:w="109"/>
        <w:gridCol w:w="571"/>
        <w:gridCol w:w="335"/>
      </w:tblGrid>
      <w:tr>
        <w:trPr/>
        <w:tc>
          <w:tcPr>
            <w:tcW w:w="4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 xml:space="preserve">Net </w:t>
              <w:br/>
              <w:t>Assets</w:t>
            </w:r>
          </w:p>
        </w:tc>
        <w:tc>
          <w:tcPr>
            <w:tcW w:w="335" w:type="dxa"/>
            <w:tcBorders/>
            <w:vAlign w:val="center"/>
          </w:tcPr>
          <w:p>
            <w:pPr>
              <w:pStyle w:val="TableContents"/>
              <w:bidi w:val="0"/>
              <w:spacing w:before="0" w:after="283"/>
              <w:ind w:left="0" w:right="0" w:hanging="180"/>
              <w:jc w:val="left"/>
              <w:rPr/>
            </w:pPr>
            <w:r>
              <w:rPr/>
              <w:t> </w:t>
            </w:r>
          </w:p>
        </w:tc>
      </w:tr>
      <w:tr>
        <w:trPr/>
        <w:tc>
          <w:tcPr>
            <w:tcW w:w="4380" w:type="dxa"/>
            <w:tcBorders/>
            <w:shd w:fill="FFFFFF" w:val="clear"/>
            <w:vAlign w:val="center"/>
          </w:tcPr>
          <w:p>
            <w:pPr>
              <w:pStyle w:val="TableContents"/>
              <w:bidi w:val="0"/>
              <w:spacing w:before="0" w:after="283"/>
              <w:jc w:val="left"/>
              <w:rPr>
                <w:b/>
              </w:rPr>
            </w:pPr>
            <w:r>
              <w:rPr>
                <w:b/>
              </w:rPr>
              <w:t>Cash and cash equivalents and cash and cash equivalents, reserve</w:t>
              <w:br/>
              <w:t>accounts - 41.0% (b)</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ind w:left="0" w:right="0" w:hanging="180"/>
              <w:jc w:val="left"/>
              <w:rPr/>
            </w:pPr>
            <w:r>
              <w:rPr/>
              <w:t> </w:t>
            </w:r>
          </w:p>
        </w:tc>
      </w:tr>
      <w:tr>
        <w:trPr/>
        <w:tc>
          <w:tcPr>
            <w:tcW w:w="4380" w:type="dxa"/>
            <w:tcBorders/>
            <w:shd w:fill="CCEEFF" w:val="clear"/>
            <w:vAlign w:val="center"/>
          </w:tcPr>
          <w:p>
            <w:pPr>
              <w:pStyle w:val="TableContents"/>
              <w:bidi w:val="0"/>
              <w:spacing w:before="0" w:after="283"/>
              <w:jc w:val="left"/>
              <w:rPr/>
            </w:pPr>
            <w:r>
              <w:rPr/>
              <w:t>U.S. Bank Money Market (l)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167,058,210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167,058,210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167,058,210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right"/>
              <w:rPr/>
            </w:pPr>
            <w:r>
              <w:rPr/>
              <w:t>40.4</w:t>
            </w:r>
          </w:p>
        </w:tc>
        <w:tc>
          <w:tcPr>
            <w:tcW w:w="335" w:type="dxa"/>
            <w:tcBorders/>
            <w:shd w:fill="CCEEFF" w:val="clear"/>
            <w:vAlign w:val="center"/>
          </w:tcPr>
          <w:p>
            <w:pPr>
              <w:pStyle w:val="TableContents"/>
              <w:bidi w:val="0"/>
              <w:spacing w:before="0" w:after="283"/>
              <w:ind w:left="0" w:right="0" w:hanging="180"/>
              <w:jc w:val="left"/>
              <w:rPr/>
            </w:pPr>
            <w:r>
              <w:rPr/>
              <w:t>%</w:t>
            </w:r>
          </w:p>
        </w:tc>
      </w:tr>
      <w:tr>
        <w:trPr/>
        <w:tc>
          <w:tcPr>
            <w:tcW w:w="4380" w:type="dxa"/>
            <w:tcBorders/>
            <w:shd w:fill="FFFFFF" w:val="clear"/>
            <w:vAlign w:val="center"/>
          </w:tcPr>
          <w:p>
            <w:pPr>
              <w:pStyle w:val="TableContents"/>
              <w:bidi w:val="0"/>
              <w:spacing w:before="0" w:after="283"/>
              <w:jc w:val="left"/>
              <w:rPr/>
            </w:pPr>
            <w:r>
              <w:rPr/>
              <w:t>Valley National Bank Money Market (1)</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2,500,000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1" w:type="dxa"/>
            <w:tcBorders>
              <w:bottom w:val="single" w:sz="8" w:space="0" w:color="000000"/>
            </w:tcBorders>
            <w:shd w:fill="FFFFFF" w:val="clear"/>
            <w:tcMar>
              <w:bottom w:w="28" w:type="dxa"/>
            </w:tcMar>
            <w:vAlign w:val="center"/>
          </w:tcPr>
          <w:p>
            <w:pPr>
              <w:pStyle w:val="TableContents"/>
              <w:bidi w:val="0"/>
              <w:spacing w:before="0" w:after="283"/>
              <w:jc w:val="right"/>
              <w:rPr/>
            </w:pPr>
            <w:r>
              <w:rPr/>
              <w:t>0.6</w:t>
            </w:r>
          </w:p>
        </w:tc>
        <w:tc>
          <w:tcPr>
            <w:tcW w:w="335" w:type="dxa"/>
            <w:tcBorders/>
            <w:shd w:fill="FFFFFF" w:val="clear"/>
            <w:vAlign w:val="center"/>
          </w:tcPr>
          <w:p>
            <w:pPr>
              <w:pStyle w:val="TableContents"/>
              <w:bidi w:val="0"/>
              <w:spacing w:before="0" w:after="283"/>
              <w:ind w:left="0" w:right="0" w:hanging="180"/>
              <w:jc w:val="left"/>
              <w:rPr/>
            </w:pPr>
            <w:r>
              <w:rPr/>
              <w:t> </w:t>
            </w:r>
          </w:p>
        </w:tc>
      </w:tr>
      <w:tr>
        <w:trPr/>
        <w:tc>
          <w:tcPr>
            <w:tcW w:w="4380" w:type="dxa"/>
            <w:tcBorders/>
            <w:shd w:fill="CCEEFF" w:val="clear"/>
            <w:vAlign w:val="center"/>
          </w:tcPr>
          <w:p>
            <w:pPr>
              <w:pStyle w:val="TableContents"/>
              <w:bidi w:val="0"/>
              <w:spacing w:before="0" w:after="283"/>
              <w:jc w:val="left"/>
              <w:rPr>
                <w:b/>
              </w:rPr>
            </w:pPr>
            <w:r>
              <w:rPr>
                <w:b/>
              </w:rPr>
              <w:t>Total cash and cash equivalents and cash and cash equivalents, reserve accounts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169,558,210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169,558,210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169,558,210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41.0</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both"/>
              <w:rPr/>
            </w:pPr>
            <w:r>
              <w:rPr/>
              <w:t>Securities are exempt from registration under Rule 144A of the Securities Act and are restricted securities. Money market funds are valued at net asset value and are considered level 1 investments within the fair value hierarchy.</w:t>
            </w:r>
          </w:p>
        </w:tc>
      </w:tr>
      <w:tr>
        <w:trPr/>
        <w:tc>
          <w:tcPr>
            <w:tcW w:w="272" w:type="dxa"/>
            <w:tcBorders/>
            <w:vAlign w:val="center"/>
          </w:tcPr>
          <w:p>
            <w:pPr>
              <w:pStyle w:val="TableContents"/>
              <w:bidi w:val="0"/>
              <w:spacing w:before="0" w:after="283"/>
              <w:jc w:val="both"/>
              <w:rPr/>
            </w:pPr>
            <w:r>
              <w:rPr/>
              <w:t>(a)</w:t>
            </w:r>
          </w:p>
        </w:tc>
        <w:tc>
          <w:tcPr>
            <w:tcW w:w="9933" w:type="dxa"/>
            <w:tcBorders/>
            <w:vAlign w:val="center"/>
          </w:tcPr>
          <w:p>
            <w:pPr>
              <w:pStyle w:val="TableContents"/>
              <w:bidi w:val="0"/>
              <w:spacing w:before="0" w:after="283"/>
              <w:jc w:val="both"/>
              <w:rPr/>
            </w:pPr>
            <w:r>
              <w:rPr/>
              <w:t>Represents an investment that is not a “qualifying asset” under Section 55(a) of the 1940 Act. As of November 30, 2025, non-qualifying assets represent 8.2% of the Company’s portfolio at fair value. As a BDC, the Company generally has to invest at least 70% of its total assets in qualifying assets.</w:t>
            </w:r>
          </w:p>
        </w:tc>
      </w:tr>
      <w:tr>
        <w:trPr/>
        <w:tc>
          <w:tcPr>
            <w:tcW w:w="272" w:type="dxa"/>
            <w:tcBorders/>
            <w:vAlign w:val="center"/>
          </w:tcPr>
          <w:p>
            <w:pPr>
              <w:pStyle w:val="TableContents"/>
              <w:bidi w:val="0"/>
              <w:spacing w:before="0" w:after="283"/>
              <w:jc w:val="both"/>
              <w:rPr/>
            </w:pPr>
            <w:r>
              <w:rPr/>
              <w:t>(b)</w:t>
            </w:r>
          </w:p>
        </w:tc>
        <w:tc>
          <w:tcPr>
            <w:tcW w:w="9933" w:type="dxa"/>
            <w:tcBorders/>
            <w:vAlign w:val="center"/>
          </w:tcPr>
          <w:p>
            <w:pPr>
              <w:pStyle w:val="TableContents"/>
              <w:bidi w:val="0"/>
              <w:spacing w:before="0" w:after="283"/>
              <w:jc w:val="both"/>
              <w:rPr/>
            </w:pPr>
            <w:r>
              <w:rPr/>
              <w:t>Percentages are based on net assets of $413,206,912 as of November 30, 2025.</w:t>
            </w:r>
          </w:p>
        </w:tc>
      </w:tr>
      <w:tr>
        <w:trPr/>
        <w:tc>
          <w:tcPr>
            <w:tcW w:w="272" w:type="dxa"/>
            <w:tcBorders/>
            <w:vAlign w:val="center"/>
          </w:tcPr>
          <w:p>
            <w:pPr>
              <w:pStyle w:val="TableContents"/>
              <w:bidi w:val="0"/>
              <w:spacing w:before="0" w:after="283"/>
              <w:jc w:val="both"/>
              <w:rPr/>
            </w:pPr>
            <w:r>
              <w:rPr/>
              <w:t>(c)</w:t>
            </w:r>
          </w:p>
        </w:tc>
        <w:tc>
          <w:tcPr>
            <w:tcW w:w="9933" w:type="dxa"/>
            <w:tcBorders/>
            <w:vAlign w:val="center"/>
          </w:tcPr>
          <w:p>
            <w:pPr>
              <w:pStyle w:val="TableContents"/>
              <w:bidi w:val="0"/>
              <w:spacing w:before="0" w:after="283"/>
              <w:jc w:val="both"/>
              <w:rPr/>
            </w:pPr>
            <w:r>
              <w:rPr/>
              <w:t>Because there is no “readily available market quotations” (as defined in the 1940 Act) for these investments, the fair values of these investments were determined using significant unobservable inputs and approved in good faith by our board of directors. These investments have been included as Level 3 in the Fair Value Hierarchy, except for the CLO BB and BBB debt which are level 2 investments (see Note 3 to the consolidated financial statements in the Quarterly Report on Form 10-Q for the quarter ended November 30, 2025).</w:t>
            </w:r>
          </w:p>
        </w:tc>
      </w:tr>
      <w:tr>
        <w:trPr/>
        <w:tc>
          <w:tcPr>
            <w:tcW w:w="272" w:type="dxa"/>
            <w:tcBorders/>
            <w:vAlign w:val="center"/>
          </w:tcPr>
          <w:p>
            <w:pPr>
              <w:pStyle w:val="TableContents"/>
              <w:bidi w:val="0"/>
              <w:spacing w:before="0" w:after="283"/>
              <w:jc w:val="both"/>
              <w:rPr/>
            </w:pPr>
            <w:r>
              <w:rPr/>
              <w:t>(d)</w:t>
            </w:r>
          </w:p>
        </w:tc>
        <w:tc>
          <w:tcPr>
            <w:tcW w:w="9933" w:type="dxa"/>
            <w:tcBorders/>
            <w:vAlign w:val="center"/>
          </w:tcPr>
          <w:p>
            <w:pPr>
              <w:pStyle w:val="TableContents"/>
              <w:bidi w:val="0"/>
              <w:spacing w:before="0" w:after="283"/>
              <w:jc w:val="both"/>
              <w:rPr/>
            </w:pPr>
            <w:r>
              <w:rPr/>
              <w:t>These securities are either fully or partially pledged as collateral under the Company’s senior secured revolving credit facility (see Note 8 to the consolidated financial statements in the Quarterly Report on Form 10-Q for the quarter ended November 30, 2025).</w:t>
            </w:r>
          </w:p>
        </w:tc>
      </w:tr>
      <w:tr>
        <w:trPr/>
        <w:tc>
          <w:tcPr>
            <w:tcW w:w="272" w:type="dxa"/>
            <w:tcBorders/>
            <w:vAlign w:val="center"/>
          </w:tcPr>
          <w:p>
            <w:pPr>
              <w:pStyle w:val="TableContents"/>
              <w:bidi w:val="0"/>
              <w:spacing w:before="0" w:after="283"/>
              <w:jc w:val="both"/>
              <w:rPr/>
            </w:pPr>
            <w:r>
              <w:rPr/>
              <w:t>(e)</w:t>
            </w:r>
          </w:p>
        </w:tc>
        <w:tc>
          <w:tcPr>
            <w:tcW w:w="9933" w:type="dxa"/>
            <w:tcBorders/>
            <w:vAlign w:val="center"/>
          </w:tcPr>
          <w:p>
            <w:pPr>
              <w:pStyle w:val="TableContents"/>
              <w:bidi w:val="0"/>
              <w:spacing w:before="0" w:after="283"/>
              <w:jc w:val="both"/>
              <w:rPr/>
            </w:pPr>
            <w:r>
              <w:rPr/>
              <w:t>This investment does not have a stated interest rate that is payable thereon. As a result, the 0.00% interest rate in the table above represents the effective interest rate currently earned on the investment cost and is based on the current cash interest and other income generated by the investment.</w:t>
            </w:r>
          </w:p>
        </w:tc>
      </w:tr>
      <w:tr>
        <w:trPr/>
        <w:tc>
          <w:tcPr>
            <w:tcW w:w="272" w:type="dxa"/>
            <w:tcBorders/>
            <w:vAlign w:val="center"/>
          </w:tcPr>
          <w:p>
            <w:pPr>
              <w:pStyle w:val="TableContents"/>
              <w:bidi w:val="0"/>
              <w:spacing w:before="0" w:after="283"/>
              <w:jc w:val="both"/>
              <w:rPr/>
            </w:pPr>
            <w:r>
              <w:rPr/>
              <w:t>(f)</w:t>
            </w:r>
          </w:p>
        </w:tc>
        <w:tc>
          <w:tcPr>
            <w:tcW w:w="9933" w:type="dxa"/>
            <w:tcBorders/>
            <w:vAlign w:val="center"/>
          </w:tcPr>
          <w:p>
            <w:pPr>
              <w:pStyle w:val="TableContents"/>
              <w:bidi w:val="0"/>
              <w:spacing w:before="0" w:after="283"/>
              <w:jc w:val="both"/>
              <w:rPr/>
            </w:pPr>
            <w:r>
              <w:rPr/>
              <w:t>As defined in the 1940 Act, this portfolio company is an “affiliate” as we own between 5.0% and 25.0% of the outstanding voting securities. Transactions during the nine months ended November 30, 2025 in which the issuer was an affiliate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3510" w:type="dxa"/>
        <w:jc w:val="left"/>
        <w:tblInd w:w="0" w:type="dxa"/>
        <w:tblLayout w:type="fixed"/>
        <w:tblCellMar>
          <w:top w:w="0" w:type="dxa"/>
          <w:left w:w="0" w:type="dxa"/>
          <w:bottom w:w="28" w:type="dxa"/>
          <w:right w:w="0" w:type="dxa"/>
        </w:tblCellMar>
      </w:tblPr>
      <w:tblGrid>
        <w:gridCol w:w="1490"/>
        <w:gridCol w:w="90"/>
        <w:gridCol w:w="170"/>
        <w:gridCol w:w="1130"/>
        <w:gridCol w:w="90"/>
        <w:gridCol w:w="90"/>
        <w:gridCol w:w="170"/>
        <w:gridCol w:w="1130"/>
        <w:gridCol w:w="90"/>
        <w:gridCol w:w="90"/>
        <w:gridCol w:w="170"/>
        <w:gridCol w:w="1085"/>
        <w:gridCol w:w="125"/>
        <w:gridCol w:w="90"/>
        <w:gridCol w:w="182"/>
        <w:gridCol w:w="1083"/>
        <w:gridCol w:w="90"/>
        <w:gridCol w:w="90"/>
        <w:gridCol w:w="359"/>
        <w:gridCol w:w="1026"/>
        <w:gridCol w:w="90"/>
        <w:gridCol w:w="90"/>
        <w:gridCol w:w="328"/>
        <w:gridCol w:w="937"/>
        <w:gridCol w:w="90"/>
        <w:gridCol w:w="90"/>
        <w:gridCol w:w="243"/>
        <w:gridCol w:w="1187"/>
        <w:gridCol w:w="90"/>
        <w:gridCol w:w="90"/>
        <w:gridCol w:w="170"/>
        <w:gridCol w:w="1130"/>
        <w:gridCol w:w="135"/>
      </w:tblGrid>
      <w:tr>
        <w:trPr/>
        <w:tc>
          <w:tcPr>
            <w:tcW w:w="1490" w:type="dxa"/>
            <w:tcBorders>
              <w:bottom w:val="single" w:sz="8" w:space="0" w:color="000000"/>
            </w:tcBorders>
            <w:vAlign w:val="center"/>
          </w:tcPr>
          <w:p>
            <w:pPr>
              <w:pStyle w:val="TableContents"/>
              <w:bidi w:val="0"/>
              <w:spacing w:before="0" w:after="283"/>
              <w:jc w:val="left"/>
              <w:rPr>
                <w:b/>
              </w:rPr>
            </w:pPr>
            <w:r>
              <w:rPr>
                <w:b/>
              </w:rPr>
              <w:t>Company</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Fair</w:t>
              <w:br/>
              <w:t>Value at</w:t>
              <w:br/>
              <w:t>the</w:t>
              <w:br/>
              <w:t>Beginning</w:t>
              <w:br/>
              <w:t>of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Purchases/</w:t>
              <w:br/>
              <w:t>Add-ons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8" w:space="0" w:color="000000"/>
            </w:tcBorders>
            <w:vAlign w:val="center"/>
          </w:tcPr>
          <w:p>
            <w:pPr>
              <w:pStyle w:val="TableContents"/>
              <w:bidi w:val="0"/>
              <w:spacing w:before="0" w:after="283"/>
              <w:jc w:val="center"/>
              <w:rPr>
                <w:b/>
              </w:rPr>
            </w:pPr>
            <w:r>
              <w:rPr>
                <w:b/>
              </w:rPr>
              <w:t>Sales/</w:t>
              <w:br/>
              <w:t>Paydowns</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283"/>
              <w:jc w:val="center"/>
              <w:rPr>
                <w:b/>
              </w:rPr>
            </w:pPr>
            <w:r>
              <w:rPr>
                <w:b/>
              </w:rPr>
              <w:t>Total</w:t>
              <w:br/>
              <w:t>Interest</w:t>
              <w:br/>
              <w:t>from</w:t>
              <w:br/>
              <w:t>Investments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8" w:space="0" w:color="000000"/>
            </w:tcBorders>
            <w:vAlign w:val="center"/>
          </w:tcPr>
          <w:p>
            <w:pPr>
              <w:pStyle w:val="TableContents"/>
              <w:bidi w:val="0"/>
              <w:spacing w:before="0" w:after="283"/>
              <w:jc w:val="center"/>
              <w:rPr>
                <w:b/>
              </w:rPr>
            </w:pPr>
            <w:r>
              <w:rPr>
                <w:b/>
              </w:rPr>
              <w:t>Management</w:t>
              <w:br/>
              <w:t xml:space="preserve">Fee </w:t>
              <w:br/>
              <w:t>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8" w:space="0" w:color="000000"/>
            </w:tcBorders>
            <w:vAlign w:val="center"/>
          </w:tcPr>
          <w:p>
            <w:pPr>
              <w:pStyle w:val="TableContents"/>
              <w:bidi w:val="0"/>
              <w:spacing w:before="0" w:after="283"/>
              <w:jc w:val="center"/>
              <w:rPr>
                <w:b/>
              </w:rPr>
            </w:pPr>
            <w:r>
              <w:rPr>
                <w:b/>
              </w:rPr>
              <w:t>Net</w:t>
              <w:br/>
              <w:t xml:space="preserve">Realized </w:t>
              <w:br/>
              <w:t xml:space="preserve">Gain </w:t>
              <w:br/>
              <w:t>(Loss)</w:t>
              <w:br/>
              <w:t>from</w:t>
              <w:br/>
              <w:t>Investments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8" w:space="0" w:color="000000"/>
            </w:tcBorders>
            <w:vAlign w:val="center"/>
          </w:tcPr>
          <w:p>
            <w:pPr>
              <w:pStyle w:val="TableContents"/>
              <w:bidi w:val="0"/>
              <w:spacing w:before="0" w:after="283"/>
              <w:jc w:val="center"/>
              <w:rPr>
                <w:b/>
              </w:rPr>
            </w:pPr>
            <w:r>
              <w:rPr>
                <w:b/>
              </w:rPr>
              <w:t>Net Change</w:t>
              <w:br/>
              <w:t xml:space="preserve">in </w:t>
              <w:br/>
              <w:t>Unrealized</w:t>
              <w:br/>
              <w:t>Appreciation</w:t>
              <w:br/>
              <w:t>(Depreciation)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 xml:space="preserve">Fair </w:t>
              <w:br/>
              <w:t>Value</w:t>
              <w:br/>
              <w:t>at End of</w:t>
              <w:br/>
              <w:t>Period</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Axero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27,179,347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1083" w:type="dxa"/>
            <w:tcBorders/>
            <w:shd w:fill="CCEEFF" w:val="clear"/>
            <w:tcMar>
              <w:bottom w:w="0" w:type="dxa"/>
            </w:tcMar>
            <w:vAlign w:val="center"/>
          </w:tcPr>
          <w:p>
            <w:pPr>
              <w:pStyle w:val="TableContents"/>
              <w:bidi w:val="0"/>
              <w:spacing w:before="0" w:after="283"/>
              <w:jc w:val="right"/>
              <w:rPr/>
            </w:pPr>
            <w:r>
              <w:rPr/>
              <w:t>1,521,172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 w:type="dxa"/>
            <w:tcBorders/>
            <w:shd w:fill="CCEEFF" w:val="clear"/>
            <w:tcMar>
              <w:bottom w:w="0" w:type="dxa"/>
            </w:tcMar>
            <w:vAlign w:val="center"/>
          </w:tcPr>
          <w:p>
            <w:pPr>
              <w:pStyle w:val="TableContents"/>
              <w:bidi w:val="0"/>
              <w:spacing w:before="0" w:after="283"/>
              <w:jc w:val="left"/>
              <w:rPr/>
            </w:pPr>
            <w:r>
              <w:rPr/>
              <w:t>$</w:t>
            </w:r>
          </w:p>
        </w:tc>
        <w:tc>
          <w:tcPr>
            <w:tcW w:w="1026"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937"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87" w:type="dxa"/>
            <w:tcBorders/>
            <w:shd w:fill="CCEEFF" w:val="clear"/>
            <w:tcMar>
              <w:bottom w:w="0" w:type="dxa"/>
            </w:tcMar>
            <w:vAlign w:val="center"/>
          </w:tcPr>
          <w:p>
            <w:pPr>
              <w:pStyle w:val="TableContents"/>
              <w:bidi w:val="0"/>
              <w:spacing w:before="0" w:after="283"/>
              <w:jc w:val="right"/>
              <w:rPr/>
            </w:pPr>
            <w:r>
              <w:rPr/>
              <w:t>248,579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28,341,989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FFFFFF" w:val="clear"/>
            <w:tcMar>
              <w:bottom w:w="0" w:type="dxa"/>
            </w:tcMar>
            <w:vAlign w:val="center"/>
          </w:tcPr>
          <w:p>
            <w:pPr>
              <w:pStyle w:val="TableContents"/>
              <w:bidi w:val="0"/>
              <w:spacing w:before="0" w:after="283"/>
              <w:jc w:val="left"/>
              <w:rPr/>
            </w:pPr>
            <w:r>
              <w:rPr/>
              <w:t>ETU Holdings, Inc.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13,368,085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730,280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8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1083" w:type="dxa"/>
            <w:tcBorders/>
            <w:shd w:fill="FFFFFF" w:val="clear"/>
            <w:tcMar>
              <w:bottom w:w="0" w:type="dxa"/>
            </w:tcMar>
            <w:vAlign w:val="center"/>
          </w:tcPr>
          <w:p>
            <w:pPr>
              <w:pStyle w:val="TableContents"/>
              <w:bidi w:val="0"/>
              <w:spacing w:before="0" w:after="283"/>
              <w:jc w:val="right"/>
              <w:rPr/>
            </w:pPr>
            <w:r>
              <w:rPr/>
              <w:t>1,601,122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9" w:type="dxa"/>
            <w:tcBorders/>
            <w:shd w:fill="FFFFFF" w:val="clear"/>
            <w:tcMar>
              <w:bottom w:w="0" w:type="dxa"/>
            </w:tcMar>
            <w:vAlign w:val="center"/>
          </w:tcPr>
          <w:p>
            <w:pPr>
              <w:pStyle w:val="TableContents"/>
              <w:bidi w:val="0"/>
              <w:spacing w:before="0" w:after="283"/>
              <w:jc w:val="left"/>
              <w:rPr/>
            </w:pPr>
            <w:r>
              <w:rPr/>
              <w:t> </w:t>
            </w:r>
          </w:p>
        </w:tc>
        <w:tc>
          <w:tcPr>
            <w:tcW w:w="1026"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937"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410,764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15,468,048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CCEEFF" w:val="clear"/>
            <w:tcMar>
              <w:bottom w:w="0" w:type="dxa"/>
            </w:tcMar>
            <w:vAlign w:val="center"/>
          </w:tcPr>
          <w:p>
            <w:pPr>
              <w:pStyle w:val="TableContents"/>
              <w:bidi w:val="0"/>
              <w:spacing w:before="0" w:after="283"/>
              <w:jc w:val="left"/>
              <w:rPr/>
            </w:pPr>
            <w:r>
              <w:rPr/>
              <w:t>SmartAC.com,LLC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10,939,999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85" w:type="dxa"/>
            <w:tcBorders>
              <w:bottom w:val="single" w:sz="8" w:space="0" w:color="000000"/>
            </w:tcBorders>
            <w:shd w:fill="CCEEFF" w:val="clear"/>
            <w:vAlign w:val="center"/>
          </w:tcPr>
          <w:p>
            <w:pPr>
              <w:pStyle w:val="TableContents"/>
              <w:bidi w:val="0"/>
              <w:spacing w:before="0" w:after="283"/>
              <w:jc w:val="right"/>
              <w:rPr/>
            </w:pPr>
            <w:r>
              <w:rPr/>
              <w:t>(2,602,913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1083" w:type="dxa"/>
            <w:tcBorders>
              <w:bottom w:val="single" w:sz="8" w:space="0" w:color="000000"/>
            </w:tcBorders>
            <w:shd w:fill="CCEEFF" w:val="clear"/>
            <w:vAlign w:val="center"/>
          </w:tcPr>
          <w:p>
            <w:pPr>
              <w:pStyle w:val="TableContents"/>
              <w:bidi w:val="0"/>
              <w:spacing w:before="0" w:after="283"/>
              <w:jc w:val="right"/>
              <w:rPr/>
            </w:pPr>
            <w:r>
              <w:rPr/>
              <w:t>639,362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 w:type="dxa"/>
            <w:tcBorders>
              <w:bottom w:val="single" w:sz="8" w:space="0" w:color="000000"/>
            </w:tcBorders>
            <w:shd w:fill="CCEEFF" w:val="clear"/>
            <w:vAlign w:val="center"/>
          </w:tcPr>
          <w:p>
            <w:pPr>
              <w:pStyle w:val="TableContents"/>
              <w:bidi w:val="0"/>
              <w:spacing w:before="0" w:after="283"/>
              <w:jc w:val="left"/>
              <w:rPr/>
            </w:pPr>
            <w:r>
              <w:rPr/>
              <w:t> </w:t>
            </w:r>
          </w:p>
        </w:tc>
        <w:tc>
          <w:tcPr>
            <w:tcW w:w="1026"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CCEEFF" w:val="clear"/>
            <w:vAlign w:val="center"/>
          </w:tcPr>
          <w:p>
            <w:pPr>
              <w:pStyle w:val="TableContents"/>
              <w:bidi w:val="0"/>
              <w:spacing w:before="0" w:after="283"/>
              <w:jc w:val="left"/>
              <w:rPr/>
            </w:pPr>
            <w:r>
              <w:rPr/>
              <w:t> </w:t>
            </w:r>
          </w:p>
        </w:tc>
        <w:tc>
          <w:tcPr>
            <w:tcW w:w="937"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pPr>
            <w:r>
              <w:rPr/>
              <w:t>129,773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8,488,752</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90"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40,547,432</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11,670,279</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085" w:type="dxa"/>
            <w:tcBorders>
              <w:bottom w:val="single" w:sz="8" w:space="0" w:color="000000"/>
            </w:tcBorders>
            <w:shd w:fill="FFFFFF" w:val="clear"/>
            <w:vAlign w:val="center"/>
          </w:tcPr>
          <w:p>
            <w:pPr>
              <w:pStyle w:val="TableContents"/>
              <w:bidi w:val="0"/>
              <w:spacing w:before="0" w:after="283"/>
              <w:jc w:val="right"/>
              <w:rPr/>
            </w:pPr>
            <w:r>
              <w:rPr/>
              <w:t>(2,602,913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FFFFFF" w:val="clear"/>
            <w:vAlign w:val="center"/>
          </w:tcPr>
          <w:p>
            <w:pPr>
              <w:pStyle w:val="TableContents"/>
              <w:bidi w:val="0"/>
              <w:spacing w:before="0" w:after="283"/>
              <w:jc w:val="left"/>
              <w:rPr/>
            </w:pPr>
            <w:r>
              <w:rPr/>
              <w:t>$</w:t>
            </w:r>
          </w:p>
        </w:tc>
        <w:tc>
          <w:tcPr>
            <w:tcW w:w="1083" w:type="dxa"/>
            <w:tcBorders>
              <w:bottom w:val="single" w:sz="8" w:space="0" w:color="000000"/>
            </w:tcBorders>
            <w:shd w:fill="FFFFFF" w:val="clear"/>
            <w:vAlign w:val="center"/>
          </w:tcPr>
          <w:p>
            <w:pPr>
              <w:pStyle w:val="TableContents"/>
              <w:bidi w:val="0"/>
              <w:spacing w:before="0" w:after="283"/>
              <w:jc w:val="right"/>
              <w:rPr/>
            </w:pPr>
            <w:r>
              <w:rPr/>
              <w:t>3,761,656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59" w:type="dxa"/>
            <w:tcBorders>
              <w:bottom w:val="single" w:sz="8" w:space="0" w:color="000000"/>
            </w:tcBorders>
            <w:shd w:fill="FFFFFF" w:val="clear"/>
            <w:vAlign w:val="center"/>
          </w:tcPr>
          <w:p>
            <w:pPr>
              <w:pStyle w:val="TableContents"/>
              <w:bidi w:val="0"/>
              <w:spacing w:before="0" w:after="283"/>
              <w:jc w:val="left"/>
              <w:rPr/>
            </w:pPr>
            <w:r>
              <w:rPr/>
              <w:t>$</w:t>
            </w:r>
          </w:p>
        </w:tc>
        <w:tc>
          <w:tcPr>
            <w:tcW w:w="1026"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w:t>
            </w:r>
          </w:p>
        </w:tc>
        <w:tc>
          <w:tcPr>
            <w:tcW w:w="937" w:type="dxa"/>
            <w:tcBorders>
              <w:bottom w:val="single" w:sz="8"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8" w:space="0" w:color="000000"/>
            </w:tcBorders>
            <w:shd w:fill="FFFFFF" w:val="clear"/>
            <w:vAlign w:val="center"/>
          </w:tcPr>
          <w:p>
            <w:pPr>
              <w:pStyle w:val="TableContents"/>
              <w:bidi w:val="0"/>
              <w:spacing w:before="0" w:after="283"/>
              <w:jc w:val="left"/>
              <w:rPr/>
            </w:pPr>
            <w:r>
              <w:rPr/>
              <w:t>$</w:t>
            </w:r>
          </w:p>
        </w:tc>
        <w:tc>
          <w:tcPr>
            <w:tcW w:w="1187" w:type="dxa"/>
            <w:tcBorders>
              <w:bottom w:val="single" w:sz="8" w:space="0" w:color="000000"/>
            </w:tcBorders>
            <w:shd w:fill="FFFFFF" w:val="clear"/>
            <w:vAlign w:val="center"/>
          </w:tcPr>
          <w:p>
            <w:pPr>
              <w:pStyle w:val="TableContents"/>
              <w:bidi w:val="0"/>
              <w:spacing w:before="0" w:after="283"/>
              <w:jc w:val="right"/>
              <w:rPr/>
            </w:pPr>
            <w:r>
              <w:rPr/>
              <w:t>789,116</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52,298,789</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sz w:val="20"/>
              </w:rPr>
            </w:pPr>
            <w:r>
              <w:rPr>
                <w:sz w:val="20"/>
              </w:rPr>
              <w:t>(g)</w:t>
            </w:r>
          </w:p>
        </w:tc>
        <w:tc>
          <w:tcPr>
            <w:tcW w:w="9954" w:type="dxa"/>
            <w:tcBorders/>
            <w:vAlign w:val="center"/>
          </w:tcPr>
          <w:p>
            <w:pPr>
              <w:pStyle w:val="TableContents"/>
              <w:bidi w:val="0"/>
              <w:spacing w:before="0" w:after="283"/>
              <w:jc w:val="both"/>
              <w:rPr>
                <w:sz w:val="20"/>
              </w:rPr>
            </w:pPr>
            <w:r>
              <w:rPr>
                <w:sz w:val="20"/>
              </w:rPr>
              <w:t>As defined in the 1940 Act, we “control” this portfolio company because we own more than 25% of the portfolio company’s outstanding voting securities. Transactions during the nine months ended November 30, 2025 in which the issuer was both an affiliate and a portfolio company that we control are as follows:</w:t>
            </w:r>
          </w:p>
        </w:tc>
      </w:tr>
    </w:tbl>
    <w:p>
      <w:pPr>
        <w:pStyle w:val="TextBody"/>
        <w:bidi w:val="0"/>
        <w:spacing w:before="0" w:after="0"/>
        <w:ind w:left="0" w:right="0" w:hanging="0"/>
        <w:jc w:val="center"/>
        <w:rPr>
          <w:caps w:val="false"/>
          <w:smallCaps w:val="false"/>
        </w:rPr>
      </w:pPr>
      <w:r>
        <w:rPr>
          <w:caps w:val="false"/>
          <w:smallCaps w:val="false"/>
        </w:rPr>
        <w:t> </w:t>
      </w:r>
    </w:p>
    <w:tbl>
      <w:tblPr>
        <w:tblW w:w="14245" w:type="dxa"/>
        <w:jc w:val="left"/>
        <w:tblInd w:w="0" w:type="dxa"/>
        <w:tblLayout w:type="fixed"/>
        <w:tblCellMar>
          <w:top w:w="0" w:type="dxa"/>
          <w:left w:w="0" w:type="dxa"/>
          <w:bottom w:w="28" w:type="dxa"/>
          <w:right w:w="0" w:type="dxa"/>
        </w:tblCellMar>
      </w:tblPr>
      <w:tblGrid>
        <w:gridCol w:w="1100"/>
        <w:gridCol w:w="90"/>
        <w:gridCol w:w="170"/>
        <w:gridCol w:w="1130"/>
        <w:gridCol w:w="90"/>
        <w:gridCol w:w="90"/>
        <w:gridCol w:w="170"/>
        <w:gridCol w:w="1130"/>
        <w:gridCol w:w="90"/>
        <w:gridCol w:w="90"/>
        <w:gridCol w:w="170"/>
        <w:gridCol w:w="1205"/>
        <w:gridCol w:w="125"/>
        <w:gridCol w:w="90"/>
        <w:gridCol w:w="170"/>
        <w:gridCol w:w="1010"/>
        <w:gridCol w:w="90"/>
        <w:gridCol w:w="90"/>
        <w:gridCol w:w="170"/>
        <w:gridCol w:w="1010"/>
        <w:gridCol w:w="90"/>
        <w:gridCol w:w="90"/>
        <w:gridCol w:w="216"/>
        <w:gridCol w:w="1054"/>
        <w:gridCol w:w="115"/>
        <w:gridCol w:w="90"/>
        <w:gridCol w:w="197"/>
        <w:gridCol w:w="963"/>
        <w:gridCol w:w="105"/>
        <w:gridCol w:w="90"/>
        <w:gridCol w:w="176"/>
        <w:gridCol w:w="1124"/>
        <w:gridCol w:w="130"/>
        <w:gridCol w:w="90"/>
        <w:gridCol w:w="170"/>
        <w:gridCol w:w="1130"/>
        <w:gridCol w:w="135"/>
      </w:tblGrid>
      <w:tr>
        <w:trPr/>
        <w:tc>
          <w:tcPr>
            <w:tcW w:w="1100" w:type="dxa"/>
            <w:tcBorders>
              <w:bottom w:val="single" w:sz="8" w:space="0" w:color="000000"/>
            </w:tcBorders>
            <w:vAlign w:val="center"/>
          </w:tcPr>
          <w:p>
            <w:pPr>
              <w:pStyle w:val="TableContents"/>
              <w:bidi w:val="0"/>
              <w:spacing w:before="0" w:after="283"/>
              <w:ind w:left="0" w:right="0" w:hanging="180"/>
              <w:jc w:val="left"/>
              <w:rPr>
                <w:b/>
              </w:rPr>
            </w:pPr>
            <w:r>
              <w:rPr>
                <w:b/>
              </w:rPr>
              <w:t>Company</w:t>
            </w:r>
          </w:p>
        </w:tc>
        <w:tc>
          <w:tcPr>
            <w:tcW w:w="90" w:type="dxa"/>
            <w:tcBorders/>
            <w:tcMar>
              <w:bottom w:w="0" w:type="dxa"/>
            </w:tcMar>
            <w:vAlign w:val="center"/>
          </w:tcPr>
          <w:p>
            <w:pPr>
              <w:pStyle w:val="TableContents"/>
              <w:bidi w:val="0"/>
              <w:spacing w:before="0" w:after="283"/>
              <w:jc w:val="left"/>
              <w:rPr/>
            </w:pPr>
            <w:r>
              <w:rPr/>
              <w:t> </w:t>
            </w:r>
          </w:p>
        </w:tc>
        <w:tc>
          <w:tcPr>
            <w:tcW w:w="1390" w:type="dxa"/>
            <w:gridSpan w:val="3"/>
            <w:tcBorders>
              <w:bottom w:val="single" w:sz="8" w:space="0" w:color="000000"/>
            </w:tcBorders>
            <w:vAlign w:val="center"/>
          </w:tcPr>
          <w:p>
            <w:pPr>
              <w:pStyle w:val="TableContents"/>
              <w:bidi w:val="0"/>
              <w:spacing w:before="0" w:after="283"/>
              <w:jc w:val="center"/>
              <w:rPr>
                <w:b/>
              </w:rPr>
            </w:pPr>
            <w:r>
              <w:rPr>
                <w:b/>
              </w:rPr>
              <w:t xml:space="preserve">Fair </w:t>
              <w:br/>
              <w:t>Value at</w:t>
              <w:br/>
              <w:t>the Beginning</w:t>
              <w:br/>
              <w:t>of Year</w:t>
            </w:r>
          </w:p>
        </w:tc>
        <w:tc>
          <w:tcPr>
            <w:tcW w:w="90" w:type="dxa"/>
            <w:tcBorders/>
            <w:tcMar>
              <w:bottom w:w="0" w:type="dxa"/>
            </w:tcMar>
            <w:vAlign w:val="center"/>
          </w:tcPr>
          <w:p>
            <w:pPr>
              <w:pStyle w:val="TableContents"/>
              <w:bidi w:val="0"/>
              <w:spacing w:before="0" w:after="283"/>
              <w:jc w:val="left"/>
              <w:rPr/>
            </w:pPr>
            <w:r>
              <w:rPr/>
              <w:t> </w:t>
            </w:r>
          </w:p>
        </w:tc>
        <w:tc>
          <w:tcPr>
            <w:tcW w:w="1390" w:type="dxa"/>
            <w:gridSpan w:val="3"/>
            <w:tcBorders>
              <w:bottom w:val="single" w:sz="8" w:space="0" w:color="000000"/>
            </w:tcBorders>
            <w:vAlign w:val="center"/>
          </w:tcPr>
          <w:p>
            <w:pPr>
              <w:pStyle w:val="TableContents"/>
              <w:bidi w:val="0"/>
              <w:spacing w:before="0" w:after="283"/>
              <w:jc w:val="center"/>
              <w:rPr>
                <w:b/>
              </w:rPr>
            </w:pPr>
            <w:r>
              <w:rPr>
                <w:b/>
              </w:rPr>
              <w:t>Purchases/</w:t>
              <w:br/>
              <w:t>Add-ons</w:t>
            </w:r>
          </w:p>
        </w:tc>
        <w:tc>
          <w:tcPr>
            <w:tcW w:w="90" w:type="dxa"/>
            <w:tcBorders/>
            <w:tcMar>
              <w:bottom w:w="0" w:type="dxa"/>
            </w:tcMar>
            <w:vAlign w:val="center"/>
          </w:tcPr>
          <w:p>
            <w:pPr>
              <w:pStyle w:val="TableContents"/>
              <w:bidi w:val="0"/>
              <w:spacing w:before="0" w:after="283"/>
              <w:jc w:val="left"/>
              <w:rPr/>
            </w:pPr>
            <w:r>
              <w:rPr/>
              <w:t> </w:t>
            </w:r>
          </w:p>
        </w:tc>
        <w:tc>
          <w:tcPr>
            <w:tcW w:w="1500" w:type="dxa"/>
            <w:gridSpan w:val="3"/>
            <w:tcBorders>
              <w:bottom w:val="single" w:sz="8" w:space="0" w:color="000000"/>
            </w:tcBorders>
            <w:vAlign w:val="center"/>
          </w:tcPr>
          <w:p>
            <w:pPr>
              <w:pStyle w:val="TableContents"/>
              <w:bidi w:val="0"/>
              <w:spacing w:before="0" w:after="283"/>
              <w:jc w:val="center"/>
              <w:rPr>
                <w:b/>
              </w:rPr>
            </w:pPr>
            <w:r>
              <w:rPr>
                <w:b/>
              </w:rPr>
              <w:t>Sales/</w:t>
              <w:br/>
              <w:t>Paydowns</w:t>
            </w:r>
          </w:p>
        </w:tc>
        <w:tc>
          <w:tcPr>
            <w:tcW w:w="90" w:type="dxa"/>
            <w:tcBorders/>
            <w:tcMar>
              <w:bottom w:w="0" w:type="dxa"/>
            </w:tcMar>
            <w:vAlign w:val="center"/>
          </w:tcPr>
          <w:p>
            <w:pPr>
              <w:pStyle w:val="TableContents"/>
              <w:bidi w:val="0"/>
              <w:spacing w:before="0" w:after="283"/>
              <w:jc w:val="left"/>
              <w:rPr/>
            </w:pPr>
            <w:r>
              <w:rPr/>
              <w:t> </w:t>
            </w:r>
          </w:p>
        </w:tc>
        <w:tc>
          <w:tcPr>
            <w:tcW w:w="1270" w:type="dxa"/>
            <w:gridSpan w:val="3"/>
            <w:tcBorders>
              <w:bottom w:val="single" w:sz="8" w:space="0" w:color="000000"/>
            </w:tcBorders>
            <w:vAlign w:val="center"/>
          </w:tcPr>
          <w:p>
            <w:pPr>
              <w:pStyle w:val="TableContents"/>
              <w:bidi w:val="0"/>
              <w:spacing w:before="0" w:after="283"/>
              <w:jc w:val="center"/>
              <w:rPr>
                <w:b/>
              </w:rPr>
            </w:pPr>
            <w:r>
              <w:rPr>
                <w:b/>
              </w:rPr>
              <w:t>Total</w:t>
              <w:br/>
              <w:t>Interest</w:t>
              <w:br/>
              <w:t>from</w:t>
              <w:br/>
              <w:t>Investments</w:t>
            </w:r>
          </w:p>
        </w:tc>
        <w:tc>
          <w:tcPr>
            <w:tcW w:w="90" w:type="dxa"/>
            <w:tcBorders/>
            <w:tcMar>
              <w:bottom w:w="0" w:type="dxa"/>
            </w:tcMar>
            <w:vAlign w:val="center"/>
          </w:tcPr>
          <w:p>
            <w:pPr>
              <w:pStyle w:val="TableContents"/>
              <w:bidi w:val="0"/>
              <w:spacing w:before="0" w:after="283"/>
              <w:jc w:val="left"/>
              <w:rPr/>
            </w:pPr>
            <w:r>
              <w:rPr/>
              <w:t> </w:t>
            </w:r>
          </w:p>
        </w:tc>
        <w:tc>
          <w:tcPr>
            <w:tcW w:w="1270" w:type="dxa"/>
            <w:gridSpan w:val="3"/>
            <w:tcBorders>
              <w:bottom w:val="single" w:sz="8" w:space="0" w:color="000000"/>
            </w:tcBorders>
            <w:vAlign w:val="center"/>
          </w:tcPr>
          <w:p>
            <w:pPr>
              <w:pStyle w:val="TableContents"/>
              <w:bidi w:val="0"/>
              <w:spacing w:before="0" w:after="283"/>
              <w:jc w:val="center"/>
              <w:rPr>
                <w:b/>
              </w:rPr>
            </w:pPr>
            <w:r>
              <w:rPr>
                <w:b/>
              </w:rPr>
              <w:t>Total</w:t>
              <w:br/>
              <w:t>Dividends</w:t>
              <w:br/>
              <w:t>from</w:t>
              <w:br/>
              <w:t>Investments</w:t>
            </w:r>
          </w:p>
        </w:tc>
        <w:tc>
          <w:tcPr>
            <w:tcW w:w="90" w:type="dxa"/>
            <w:tcBorders/>
            <w:tcMar>
              <w:bottom w:w="0" w:type="dxa"/>
            </w:tcMar>
            <w:vAlign w:val="center"/>
          </w:tcPr>
          <w:p>
            <w:pPr>
              <w:pStyle w:val="TableContents"/>
              <w:bidi w:val="0"/>
              <w:spacing w:before="0" w:after="283"/>
              <w:jc w:val="left"/>
              <w:rPr/>
            </w:pPr>
            <w:r>
              <w:rPr/>
              <w:t> </w:t>
            </w:r>
          </w:p>
        </w:tc>
        <w:tc>
          <w:tcPr>
            <w:tcW w:w="1385" w:type="dxa"/>
            <w:gridSpan w:val="3"/>
            <w:tcBorders>
              <w:bottom w:val="single" w:sz="8" w:space="0" w:color="000000"/>
            </w:tcBorders>
            <w:vAlign w:val="center"/>
          </w:tcPr>
          <w:p>
            <w:pPr>
              <w:pStyle w:val="TableContents"/>
              <w:bidi w:val="0"/>
              <w:spacing w:before="0" w:after="283"/>
              <w:jc w:val="center"/>
              <w:rPr>
                <w:b/>
              </w:rPr>
            </w:pPr>
            <w:r>
              <w:rPr>
                <w:b/>
              </w:rPr>
              <w:t>Management</w:t>
              <w:br/>
              <w:t>Fee</w:t>
              <w:br/>
              <w:t>Income</w:t>
            </w:r>
          </w:p>
        </w:tc>
        <w:tc>
          <w:tcPr>
            <w:tcW w:w="90" w:type="dxa"/>
            <w:tcBorders/>
            <w:tcMar>
              <w:bottom w:w="0" w:type="dxa"/>
            </w:tcMar>
            <w:vAlign w:val="center"/>
          </w:tcPr>
          <w:p>
            <w:pPr>
              <w:pStyle w:val="TableContents"/>
              <w:bidi w:val="0"/>
              <w:spacing w:before="0" w:after="283"/>
              <w:jc w:val="left"/>
              <w:rPr/>
            </w:pPr>
            <w:r>
              <w:rPr/>
              <w:t> </w:t>
            </w:r>
          </w:p>
        </w:tc>
        <w:tc>
          <w:tcPr>
            <w:tcW w:w="1265" w:type="dxa"/>
            <w:gridSpan w:val="3"/>
            <w:tcBorders>
              <w:bottom w:val="single" w:sz="8" w:space="0" w:color="000000"/>
            </w:tcBorders>
            <w:vAlign w:val="center"/>
          </w:tcPr>
          <w:p>
            <w:pPr>
              <w:pStyle w:val="TableContents"/>
              <w:bidi w:val="0"/>
              <w:spacing w:before="0" w:after="283"/>
              <w:jc w:val="center"/>
              <w:rPr>
                <w:b/>
              </w:rPr>
            </w:pPr>
            <w:r>
              <w:rPr>
                <w:b/>
              </w:rPr>
              <w:t>Net</w:t>
              <w:br/>
              <w:t xml:space="preserve">Realized </w:t>
              <w:br/>
              <w:t xml:space="preserve">Gain </w:t>
              <w:br/>
              <w:t xml:space="preserve">(Loss) </w:t>
              <w:br/>
              <w:t>from Investments</w:t>
            </w:r>
          </w:p>
        </w:tc>
        <w:tc>
          <w:tcPr>
            <w:tcW w:w="90" w:type="dxa"/>
            <w:tcBorders/>
            <w:tcMar>
              <w:bottom w:w="0" w:type="dxa"/>
            </w:tcMar>
            <w:vAlign w:val="center"/>
          </w:tcPr>
          <w:p>
            <w:pPr>
              <w:pStyle w:val="TableContents"/>
              <w:bidi w:val="0"/>
              <w:spacing w:before="0" w:after="283"/>
              <w:jc w:val="left"/>
              <w:rPr/>
            </w:pPr>
            <w:r>
              <w:rPr/>
              <w:t> </w:t>
            </w:r>
          </w:p>
        </w:tc>
        <w:tc>
          <w:tcPr>
            <w:tcW w:w="1430" w:type="dxa"/>
            <w:gridSpan w:val="3"/>
            <w:tcBorders>
              <w:bottom w:val="single" w:sz="8" w:space="0" w:color="000000"/>
            </w:tcBorders>
            <w:vAlign w:val="center"/>
          </w:tcPr>
          <w:p>
            <w:pPr>
              <w:pStyle w:val="TableContents"/>
              <w:bidi w:val="0"/>
              <w:spacing w:before="0" w:after="283"/>
              <w:jc w:val="center"/>
              <w:rPr>
                <w:b/>
              </w:rPr>
            </w:pPr>
            <w:r>
              <w:rPr>
                <w:b/>
              </w:rPr>
              <w:t xml:space="preserve">Net </w:t>
              <w:br/>
              <w:t>Change in</w:t>
              <w:br/>
              <w:t>Unrealized</w:t>
              <w:br/>
              <w:t>Appreciation</w:t>
              <w:br/>
              <w:t>(Depreciation)</w:t>
            </w:r>
          </w:p>
        </w:tc>
        <w:tc>
          <w:tcPr>
            <w:tcW w:w="90" w:type="dxa"/>
            <w:tcBorders/>
            <w:tcMar>
              <w:bottom w:w="0" w:type="dxa"/>
            </w:tcMar>
            <w:vAlign w:val="center"/>
          </w:tcPr>
          <w:p>
            <w:pPr>
              <w:pStyle w:val="TableContents"/>
              <w:bidi w:val="0"/>
              <w:spacing w:before="0" w:after="283"/>
              <w:jc w:val="left"/>
              <w:rPr/>
            </w:pPr>
            <w:r>
              <w:rPr/>
              <w:t> </w:t>
            </w:r>
          </w:p>
        </w:tc>
        <w:tc>
          <w:tcPr>
            <w:tcW w:w="1435" w:type="dxa"/>
            <w:gridSpan w:val="3"/>
            <w:tcBorders>
              <w:bottom w:val="single" w:sz="8" w:space="0" w:color="000000"/>
            </w:tcBorders>
            <w:vAlign w:val="center"/>
          </w:tcPr>
          <w:p>
            <w:pPr>
              <w:pStyle w:val="TableContents"/>
              <w:bidi w:val="0"/>
              <w:spacing w:before="0" w:after="283"/>
              <w:ind w:left="0" w:right="0" w:hanging="180"/>
              <w:jc w:val="center"/>
              <w:rPr>
                <w:b/>
              </w:rPr>
            </w:pPr>
            <w:r>
              <w:rPr>
                <w:b/>
              </w:rPr>
              <w:t xml:space="preserve">Fair </w:t>
              <w:br/>
              <w:t>Value at</w:t>
              <w:br/>
              <w:t>End of</w:t>
              <w:br/>
              <w:t>Period</w:t>
            </w:r>
          </w:p>
        </w:tc>
      </w:tr>
      <w:tr>
        <w:trPr/>
        <w:tc>
          <w:tcPr>
            <w:tcW w:w="1100" w:type="dxa"/>
            <w:tcBorders/>
            <w:shd w:fill="CCEEFF" w:val="clear"/>
            <w:tcMar>
              <w:bottom w:w="0" w:type="dxa"/>
            </w:tcMar>
            <w:vAlign w:val="center"/>
          </w:tcPr>
          <w:p>
            <w:pPr>
              <w:pStyle w:val="TableContents"/>
              <w:bidi w:val="0"/>
              <w:spacing w:before="0" w:after="283"/>
              <w:jc w:val="left"/>
              <w:rPr/>
            </w:pPr>
            <w:r>
              <w:rPr/>
              <w:t>Netreo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05" w:type="dxa"/>
            <w:tcBorders/>
            <w:shd w:fill="CCEEFF" w:val="clear"/>
            <w:tcMar>
              <w:bottom w:w="0" w:type="dxa"/>
            </w:tcMar>
            <w:vAlign w:val="center"/>
          </w:tcPr>
          <w:p>
            <w:pPr>
              <w:pStyle w:val="TableContents"/>
              <w:bidi w:val="0"/>
              <w:spacing w:before="0" w:after="283"/>
              <w:jc w:val="right"/>
              <w:rPr/>
            </w:pPr>
            <w:r>
              <w:rPr/>
              <w:t>(638,355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w:t>
            </w:r>
          </w:p>
        </w:tc>
        <w:tc>
          <w:tcPr>
            <w:tcW w:w="963" w:type="dxa"/>
            <w:tcBorders/>
            <w:shd w:fill="CCEEFF" w:val="clear"/>
            <w:tcMar>
              <w:bottom w:w="0" w:type="dxa"/>
            </w:tcMar>
            <w:vAlign w:val="center"/>
          </w:tcPr>
          <w:p>
            <w:pPr>
              <w:pStyle w:val="TableContents"/>
              <w:bidi w:val="0"/>
              <w:spacing w:before="0" w:after="283"/>
              <w:jc w:val="right"/>
              <w:rPr/>
            </w:pPr>
            <w:r>
              <w:rPr/>
              <w:t>638,355</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FFFFFF" w:val="clear"/>
            <w:tcMar>
              <w:bottom w:w="0" w:type="dxa"/>
            </w:tcMar>
            <w:vAlign w:val="center"/>
          </w:tcPr>
          <w:p>
            <w:pPr>
              <w:pStyle w:val="TableContents"/>
              <w:bidi w:val="0"/>
              <w:spacing w:before="0" w:after="283"/>
              <w:jc w:val="left"/>
              <w:rPr/>
            </w:pPr>
            <w:r>
              <w:rPr/>
              <w:t>Pepper Palace, Inc.</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1,547,000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1,000,000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(522,360</w:t>
            </w:r>
          </w:p>
        </w:tc>
        <w:tc>
          <w:tcPr>
            <w:tcW w:w="13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2,024,640</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Zollege PBC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3,937,150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96,997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4,855,141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8,889,078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FFFFFF" w:val="clear"/>
            <w:tcMar>
              <w:bottom w:w="0" w:type="dxa"/>
            </w:tcMar>
            <w:vAlign w:val="center"/>
          </w:tcPr>
          <w:p>
            <w:pPr>
              <w:pStyle w:val="TableContents"/>
              <w:bidi w:val="0"/>
              <w:spacing w:before="0" w:after="283"/>
              <w:jc w:val="left"/>
              <w:rPr/>
            </w:pPr>
            <w:r>
              <w:rPr/>
              <w:t>Saratoga Investment Corp. CLO 2013-1, Ltd.</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240,578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628,774</w:t>
            </w:r>
          </w:p>
        </w:tc>
        <w:tc>
          <w:tcPr>
            <w:tcW w:w="1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238,365</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Saratoga Investment Corp. Senior Loan Fund 2022-1, Ltd. Class E Note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12,250,000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(12,250,000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1,762,122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(857,500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FFFFFF" w:val="clear"/>
            <w:tcMar>
              <w:bottom w:w="0" w:type="dxa"/>
            </w:tcMar>
            <w:vAlign w:val="center"/>
          </w:tcPr>
          <w:p>
            <w:pPr>
              <w:pStyle w:val="TableContents"/>
              <w:bidi w:val="0"/>
              <w:spacing w:before="0" w:after="283"/>
              <w:jc w:val="left"/>
              <w:rPr/>
            </w:pPr>
            <w:r>
              <w:rPr/>
              <w:t>Saratoga Investment Corp. CLO 2013-1, Ltd. Class F-2-R-3 Note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2,280,938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1,038,068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(2,160,000</w:t>
            </w:r>
          </w:p>
        </w:tc>
        <w:tc>
          <w:tcPr>
            <w:tcW w:w="130"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120,938</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Saratoga Senior Loan Fund I JV,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16,533,626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1,321,422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105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shd w:fill="CCEEFF" w:val="clear"/>
            <w:tcMar>
              <w:bottom w:w="0" w:type="dxa"/>
            </w:tcMar>
            <w:vAlign w:val="center"/>
          </w:tcPr>
          <w:p>
            <w:pPr>
              <w:pStyle w:val="TableContents"/>
              <w:bidi w:val="0"/>
              <w:spacing w:before="0" w:after="283"/>
              <w:jc w:val="left"/>
              <w:rPr/>
            </w:pPr>
            <w:r>
              <w:rPr/>
              <w:t> </w:t>
            </w:r>
          </w:p>
        </w:tc>
        <w:tc>
          <w:tcPr>
            <w:tcW w:w="963" w:type="dxa"/>
            <w:tcBorders/>
            <w:shd w:fill="CCEEFF" w:val="clear"/>
            <w:tcMar>
              <w:bottom w:w="0" w:type="dxa"/>
            </w:tcMar>
            <w:vAlign w:val="center"/>
          </w:tcPr>
          <w:p>
            <w:pPr>
              <w:pStyle w:val="TableContents"/>
              <w:bidi w:val="0"/>
              <w:spacing w:before="0" w:after="283"/>
              <w:jc w:val="right"/>
              <w:rPr/>
            </w:pPr>
            <w:r>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(350,617</w:t>
            </w:r>
          </w:p>
        </w:tc>
        <w:tc>
          <w:tcPr>
            <w:tcW w:w="130"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16,183,009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FFFFFF" w:val="clear"/>
            <w:tcMar>
              <w:bottom w:w="0" w:type="dxa"/>
            </w:tcMar>
            <w:vAlign w:val="center"/>
          </w:tcPr>
          <w:p>
            <w:pPr>
              <w:pStyle w:val="TableContents"/>
              <w:bidi w:val="0"/>
              <w:spacing w:before="0" w:after="283"/>
              <w:jc w:val="left"/>
              <w:rPr/>
            </w:pPr>
            <w:r>
              <w:rPr/>
              <w:t>Saratoga Investment Corp. Senior Loan Fund 2022-1, Ltd. Class E-R Note</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8,443,750</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187,645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1054" w:type="dxa"/>
            <w:tcBorders/>
            <w:shd w:fill="FFFFFF" w:val="clear"/>
            <w:tcMar>
              <w:bottom w:w="0" w:type="dxa"/>
            </w:tcMar>
            <w:vAlign w:val="center"/>
          </w:tcPr>
          <w:p>
            <w:pPr>
              <w:pStyle w:val="TableContents"/>
              <w:bidi w:val="0"/>
              <w:spacing w:before="0" w:after="283"/>
              <w:jc w:val="right"/>
              <w:rPr/>
            </w:pPr>
            <w:r>
              <w:rPr/>
              <w:t>-</w:t>
            </w:r>
          </w:p>
        </w:tc>
        <w:tc>
          <w:tcPr>
            <w:tcW w:w="1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shd w:fill="FFFFFF" w:val="clear"/>
            <w:tcMar>
              <w:bottom w:w="0" w:type="dxa"/>
            </w:tcMar>
            <w:vAlign w:val="center"/>
          </w:tcPr>
          <w:p>
            <w:pPr>
              <w:pStyle w:val="TableContents"/>
              <w:bidi w:val="0"/>
              <w:spacing w:before="0" w:after="283"/>
              <w:jc w:val="left"/>
              <w:rPr/>
            </w:pPr>
            <w:r>
              <w:rPr/>
              <w:t> </w:t>
            </w:r>
          </w:p>
        </w:tc>
        <w:tc>
          <w:tcPr>
            <w:tcW w:w="963" w:type="dxa"/>
            <w:tcBorders/>
            <w:shd w:fill="FFFFFF" w:val="clear"/>
            <w:tcMar>
              <w:bottom w:w="0" w:type="dxa"/>
            </w:tcMar>
            <w:vAlign w:val="center"/>
          </w:tcPr>
          <w:p>
            <w:pPr>
              <w:pStyle w:val="TableContents"/>
              <w:bidi w:val="0"/>
              <w:spacing w:before="0" w:after="283"/>
              <w:jc w:val="right"/>
              <w:rPr/>
            </w:pPr>
            <w:r>
              <w:rPr/>
              <w:t>-</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284,951</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right"/>
              <w:rPr/>
            </w:pPr>
            <w:r>
              <w:rPr/>
              <w:t>8,728,701</w:t>
            </w:r>
          </w:p>
        </w:tc>
        <w:tc>
          <w:tcPr>
            <w:tcW w:w="13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Saratoga Senior Loan Fund I JV,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3,080,916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1,614,375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205" w:type="dxa"/>
            <w:tcBorders>
              <w:bottom w:val="single" w:sz="8"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010" w:type="dxa"/>
            <w:tcBorders>
              <w:bottom w:val="single" w:sz="8" w:space="0" w:color="000000"/>
            </w:tcBorders>
            <w:shd w:fill="CCEEFF" w:val="clear"/>
            <w:vAlign w:val="center"/>
          </w:tcPr>
          <w:p>
            <w:pPr>
              <w:pStyle w:val="TableContents"/>
              <w:bidi w:val="0"/>
              <w:spacing w:before="0" w:after="283"/>
              <w:jc w:val="right"/>
              <w:rPr/>
            </w:pPr>
            <w:r>
              <w:rPr/>
              <w:t>2,404,864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CCEEFF" w:val="clear"/>
            <w:vAlign w:val="center"/>
          </w:tcPr>
          <w:p>
            <w:pPr>
              <w:pStyle w:val="TableContents"/>
              <w:bidi w:val="0"/>
              <w:spacing w:before="0" w:after="283"/>
              <w:jc w:val="left"/>
              <w:rPr/>
            </w:pPr>
            <w:r>
              <w:rPr/>
              <w:t> </w:t>
            </w:r>
          </w:p>
        </w:tc>
        <w:tc>
          <w:tcPr>
            <w:tcW w:w="1054" w:type="dxa"/>
            <w:tcBorders>
              <w:bottom w:val="single" w:sz="8" w:space="0" w:color="000000"/>
            </w:tcBorders>
            <w:shd w:fill="CCEEFF" w:val="cle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 w:type="dxa"/>
            <w:tcBorders>
              <w:bottom w:val="single" w:sz="8" w:space="0" w:color="000000"/>
            </w:tcBorders>
            <w:shd w:fill="CCEEFF" w:val="clear"/>
            <w:vAlign w:val="center"/>
          </w:tcPr>
          <w:p>
            <w:pPr>
              <w:pStyle w:val="TableContents"/>
              <w:bidi w:val="0"/>
              <w:spacing w:before="0" w:after="283"/>
              <w:jc w:val="left"/>
              <w:rPr/>
            </w:pPr>
            <w:r>
              <w:rPr/>
              <w:t> </w:t>
            </w:r>
          </w:p>
        </w:tc>
        <w:tc>
          <w:tcPr>
            <w:tcW w:w="963" w:type="dxa"/>
            <w:tcBorders>
              <w:bottom w:val="single" w:sz="8" w:space="0" w:color="000000"/>
            </w:tcBorders>
            <w:shd w:fill="CCEEFF" w:val="clear"/>
            <w:vAlign w:val="center"/>
          </w:tcPr>
          <w:p>
            <w:pPr>
              <w:pStyle w:val="TableContents"/>
              <w:bidi w:val="0"/>
              <w:spacing w:before="0" w:after="283"/>
              <w:jc w:val="right"/>
              <w:rPr/>
            </w:pPr>
            <w:r>
              <w:rPr/>
              <w:t>-</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124" w:type="dxa"/>
            <w:tcBorders>
              <w:bottom w:val="single" w:sz="8" w:space="0" w:color="000000"/>
            </w:tcBorders>
            <w:shd w:fill="CCEEFF" w:val="clear"/>
            <w:vAlign w:val="center"/>
          </w:tcPr>
          <w:p>
            <w:pPr>
              <w:pStyle w:val="TableContents"/>
              <w:bidi w:val="0"/>
              <w:spacing w:before="0" w:after="283"/>
              <w:jc w:val="right"/>
              <w:rPr/>
            </w:pPr>
            <w:r>
              <w:rPr/>
              <w:t>1,886,777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 </w:t>
            </w:r>
          </w:p>
        </w:tc>
        <w:tc>
          <w:tcPr>
            <w:tcW w:w="1130" w:type="dxa"/>
            <w:tcBorders>
              <w:bottom w:val="single" w:sz="8" w:space="0" w:color="000000"/>
            </w:tcBorders>
            <w:shd w:fill="CCEEFF" w:val="clear"/>
            <w:vAlign w:val="center"/>
          </w:tcPr>
          <w:p>
            <w:pPr>
              <w:pStyle w:val="TableContents"/>
              <w:bidi w:val="0"/>
              <w:spacing w:before="0" w:after="283"/>
              <w:jc w:val="right"/>
              <w:rPr/>
            </w:pPr>
            <w:r>
              <w:rPr/>
              <w:t>6,582,069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FFFFFF" w:val="clear"/>
            <w:tcMar>
              <w:bottom w:w="0" w:type="dxa"/>
            </w:tcMar>
            <w:vAlign w:val="center"/>
          </w:tcPr>
          <w:p>
            <w:pPr>
              <w:pStyle w:val="TableContents"/>
              <w:bidi w:val="0"/>
              <w:spacing w:before="0" w:after="283"/>
              <w:jc w:val="left"/>
              <w:rPr>
                <w:b/>
              </w:rPr>
            </w:pPr>
            <w:r>
              <w:rPr>
                <w:b/>
              </w:rPr>
              <w:t>Total</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39,870,208</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11,058,125</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205" w:type="dxa"/>
            <w:tcBorders>
              <w:bottom w:val="single" w:sz="8" w:space="0" w:color="000000"/>
            </w:tcBorders>
            <w:shd w:fill="FFFFFF" w:val="clear"/>
            <w:vAlign w:val="center"/>
          </w:tcPr>
          <w:p>
            <w:pPr>
              <w:pStyle w:val="TableContents"/>
              <w:bidi w:val="0"/>
              <w:spacing w:before="0" w:after="283"/>
              <w:jc w:val="right"/>
              <w:rPr/>
            </w:pPr>
            <w:r>
              <w:rPr/>
              <w:t>(12,888,355</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010" w:type="dxa"/>
            <w:tcBorders>
              <w:bottom w:val="single" w:sz="8" w:space="0" w:color="000000"/>
            </w:tcBorders>
            <w:shd w:fill="FFFFFF" w:val="clear"/>
            <w:vAlign w:val="center"/>
          </w:tcPr>
          <w:p>
            <w:pPr>
              <w:pStyle w:val="TableContents"/>
              <w:bidi w:val="0"/>
              <w:spacing w:before="0" w:after="283"/>
              <w:jc w:val="right"/>
              <w:rPr/>
            </w:pPr>
            <w:r>
              <w:rPr/>
              <w:t>4,406,254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010" w:type="dxa"/>
            <w:tcBorders>
              <w:bottom w:val="single" w:sz="8" w:space="0" w:color="000000"/>
            </w:tcBorders>
            <w:shd w:fill="FFFFFF" w:val="clear"/>
            <w:vAlign w:val="center"/>
          </w:tcPr>
          <w:p>
            <w:pPr>
              <w:pStyle w:val="TableContents"/>
              <w:bidi w:val="0"/>
              <w:spacing w:before="0" w:after="283"/>
              <w:jc w:val="right"/>
              <w:rPr/>
            </w:pPr>
            <w:r>
              <w:rPr/>
              <w:t>2,404,864</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216" w:type="dxa"/>
            <w:tcBorders>
              <w:bottom w:val="single" w:sz="8" w:space="0" w:color="000000"/>
            </w:tcBorders>
            <w:shd w:fill="FFFFFF" w:val="clear"/>
            <w:vAlign w:val="center"/>
          </w:tcPr>
          <w:p>
            <w:pPr>
              <w:pStyle w:val="TableContents"/>
              <w:bidi w:val="0"/>
              <w:spacing w:before="0" w:after="283"/>
              <w:jc w:val="left"/>
              <w:rPr/>
            </w:pPr>
            <w:r>
              <w:rPr/>
              <w:t>$</w:t>
            </w:r>
          </w:p>
        </w:tc>
        <w:tc>
          <w:tcPr>
            <w:tcW w:w="1054" w:type="dxa"/>
            <w:tcBorders>
              <w:bottom w:val="single" w:sz="8" w:space="0" w:color="000000"/>
            </w:tcBorders>
            <w:shd w:fill="FFFFFF" w:val="clear"/>
            <w:vAlign w:val="center"/>
          </w:tcPr>
          <w:p>
            <w:pPr>
              <w:pStyle w:val="TableContents"/>
              <w:bidi w:val="0"/>
              <w:spacing w:before="0" w:after="283"/>
              <w:jc w:val="right"/>
              <w:rPr/>
            </w:pPr>
            <w:r>
              <w:rPr/>
              <w:t>628,774</w:t>
            </w:r>
          </w:p>
        </w:tc>
        <w:tc>
          <w:tcPr>
            <w:tcW w:w="11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97" w:type="dxa"/>
            <w:tcBorders>
              <w:bottom w:val="single" w:sz="8" w:space="0" w:color="000000"/>
            </w:tcBorders>
            <w:shd w:fill="FFFFFF" w:val="clear"/>
            <w:vAlign w:val="center"/>
          </w:tcPr>
          <w:p>
            <w:pPr>
              <w:pStyle w:val="TableContents"/>
              <w:bidi w:val="0"/>
              <w:spacing w:before="0" w:after="283"/>
              <w:jc w:val="left"/>
              <w:rPr/>
            </w:pPr>
            <w:r>
              <w:rPr/>
              <w:t>$</w:t>
            </w:r>
          </w:p>
        </w:tc>
        <w:tc>
          <w:tcPr>
            <w:tcW w:w="963" w:type="dxa"/>
            <w:tcBorders>
              <w:bottom w:val="single" w:sz="8" w:space="0" w:color="000000"/>
            </w:tcBorders>
            <w:shd w:fill="FFFFFF" w:val="clear"/>
            <w:vAlign w:val="center"/>
          </w:tcPr>
          <w:p>
            <w:pPr>
              <w:pStyle w:val="TableContents"/>
              <w:bidi w:val="0"/>
              <w:spacing w:before="0" w:after="283"/>
              <w:jc w:val="right"/>
              <w:rPr/>
            </w:pPr>
            <w:r>
              <w:rPr/>
              <w:t>638,355</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FFFFFF" w:val="clear"/>
            <w:vAlign w:val="center"/>
          </w:tcPr>
          <w:p>
            <w:pPr>
              <w:pStyle w:val="TableContents"/>
              <w:bidi w:val="0"/>
              <w:spacing w:before="0" w:after="283"/>
              <w:jc w:val="left"/>
              <w:rPr/>
            </w:pPr>
            <w:r>
              <w:rPr/>
              <w:t>$</w:t>
            </w:r>
          </w:p>
        </w:tc>
        <w:tc>
          <w:tcPr>
            <w:tcW w:w="1124" w:type="dxa"/>
            <w:tcBorders>
              <w:bottom w:val="single" w:sz="8" w:space="0" w:color="000000"/>
            </w:tcBorders>
            <w:shd w:fill="FFFFFF" w:val="clear"/>
            <w:vAlign w:val="center"/>
          </w:tcPr>
          <w:p>
            <w:pPr>
              <w:pStyle w:val="TableContents"/>
              <w:bidi w:val="0"/>
              <w:spacing w:before="0" w:after="283"/>
              <w:jc w:val="right"/>
              <w:rPr/>
            </w:pPr>
            <w:r>
              <w:rPr/>
              <w:t>3,375,207</w:t>
            </w:r>
          </w:p>
        </w:tc>
        <w:tc>
          <w:tcPr>
            <w:tcW w:w="13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vAlign w:val="center"/>
          </w:tcPr>
          <w:p>
            <w:pPr>
              <w:pStyle w:val="TableContents"/>
              <w:bidi w:val="0"/>
              <w:spacing w:before="0" w:after="283"/>
              <w:jc w:val="left"/>
              <w:rPr/>
            </w:pPr>
            <w:r>
              <w:rPr/>
              <w:t>$</w:t>
            </w:r>
          </w:p>
        </w:tc>
        <w:tc>
          <w:tcPr>
            <w:tcW w:w="1130" w:type="dxa"/>
            <w:tcBorders>
              <w:bottom w:val="single" w:sz="8" w:space="0" w:color="000000"/>
            </w:tcBorders>
            <w:shd w:fill="FFFFFF" w:val="clear"/>
            <w:vAlign w:val="center"/>
          </w:tcPr>
          <w:p>
            <w:pPr>
              <w:pStyle w:val="TableContents"/>
              <w:bidi w:val="0"/>
              <w:spacing w:before="0" w:after="283"/>
              <w:jc w:val="right"/>
              <w:rPr/>
            </w:pPr>
            <w:r>
              <w:rPr/>
              <w:t>42,528,435</w:t>
            </w:r>
          </w:p>
        </w:tc>
        <w:tc>
          <w:tcPr>
            <w:tcW w:w="13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(h)</w:t>
            </w:r>
          </w:p>
        </w:tc>
        <w:tc>
          <w:tcPr>
            <w:tcW w:w="9913" w:type="dxa"/>
            <w:tcBorders/>
            <w:vAlign w:val="center"/>
          </w:tcPr>
          <w:p>
            <w:pPr>
              <w:pStyle w:val="TableContents"/>
              <w:bidi w:val="0"/>
              <w:spacing w:before="0" w:after="283"/>
              <w:jc w:val="both"/>
              <w:rPr/>
            </w:pPr>
            <w:r>
              <w:rPr/>
              <w:t>Non-income producing at November 30, 2025.</w:t>
            </w:r>
          </w:p>
        </w:tc>
      </w:tr>
      <w:tr>
        <w:trPr/>
        <w:tc>
          <w:tcPr>
            <w:tcW w:w="292" w:type="dxa"/>
            <w:tcBorders/>
            <w:vAlign w:val="center"/>
          </w:tcPr>
          <w:p>
            <w:pPr>
              <w:pStyle w:val="TableContents"/>
              <w:bidi w:val="0"/>
              <w:spacing w:before="0" w:after="283"/>
              <w:jc w:val="left"/>
              <w:rPr/>
            </w:pPr>
            <w:r>
              <w:rPr/>
              <w:t>(i)</w:t>
            </w:r>
          </w:p>
        </w:tc>
        <w:tc>
          <w:tcPr>
            <w:tcW w:w="9913" w:type="dxa"/>
            <w:tcBorders/>
            <w:vAlign w:val="center"/>
          </w:tcPr>
          <w:p>
            <w:pPr>
              <w:pStyle w:val="TableContents"/>
              <w:bidi w:val="0"/>
              <w:spacing w:before="0" w:after="283"/>
              <w:jc w:val="both"/>
              <w:rPr/>
            </w:pPr>
            <w:r>
              <w:rPr/>
              <w:t>Includes securities issued by an affiliate of the company.</w:t>
            </w:r>
          </w:p>
        </w:tc>
      </w:tr>
      <w:tr>
        <w:trPr/>
        <w:tc>
          <w:tcPr>
            <w:tcW w:w="292" w:type="dxa"/>
            <w:tcBorders/>
            <w:vAlign w:val="center"/>
          </w:tcPr>
          <w:p>
            <w:pPr>
              <w:pStyle w:val="TableContents"/>
              <w:bidi w:val="0"/>
              <w:spacing w:before="0" w:after="283"/>
              <w:jc w:val="left"/>
              <w:rPr/>
            </w:pPr>
            <w:r>
              <w:rPr/>
              <w:t>(j)</w:t>
            </w:r>
          </w:p>
        </w:tc>
        <w:tc>
          <w:tcPr>
            <w:tcW w:w="9913" w:type="dxa"/>
            <w:tcBorders/>
            <w:vAlign w:val="center"/>
          </w:tcPr>
          <w:p>
            <w:pPr>
              <w:pStyle w:val="TableContents"/>
              <w:bidi w:val="0"/>
              <w:spacing w:before="0" w:after="283"/>
              <w:jc w:val="left"/>
              <w:rPr/>
            </w:pPr>
            <w:r>
              <w:rPr/>
              <w:t>All or a portion of this investment has an unfunded commitment as of November 30, 2025. (See Note 9 to the consolidated financial statements in the Quarterly Report on Form 10-Q for the quarter ended November 30,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pPr>
            <w:r>
              <w:rPr/>
              <w:t>(k)</w:t>
            </w:r>
          </w:p>
        </w:tc>
        <w:tc>
          <w:tcPr>
            <w:tcW w:w="9875" w:type="dxa"/>
            <w:tcBorders/>
            <w:vAlign w:val="center"/>
          </w:tcPr>
          <w:p>
            <w:pPr>
              <w:pStyle w:val="TableContents"/>
              <w:bidi w:val="0"/>
              <w:spacing w:before="0" w:after="283"/>
              <w:jc w:val="left"/>
              <w:rPr/>
            </w:pPr>
            <w:r>
              <w:rPr/>
              <w:t>As of November 30, 2025, the investment was on non-accrual status. The fair value of these investments was approximately $2.0 million, which represented 0.2% of the Company’s portfolio (see Note 2 to the consolidated financial statements in the Quarterly Report on Form 10-Q for the quarter ended November 30, 2025).</w:t>
            </w:r>
          </w:p>
        </w:tc>
      </w:tr>
      <w:tr>
        <w:trPr/>
        <w:tc>
          <w:tcPr>
            <w:tcW w:w="330" w:type="dxa"/>
            <w:tcBorders/>
            <w:vAlign w:val="center"/>
          </w:tcPr>
          <w:p>
            <w:pPr>
              <w:pStyle w:val="TableContents"/>
              <w:bidi w:val="0"/>
              <w:spacing w:before="0" w:after="283"/>
              <w:jc w:val="left"/>
              <w:rPr/>
            </w:pPr>
            <w:r>
              <w:rPr/>
              <w:t>(l)</w:t>
            </w:r>
          </w:p>
        </w:tc>
        <w:tc>
          <w:tcPr>
            <w:tcW w:w="9875" w:type="dxa"/>
            <w:tcBorders/>
            <w:vAlign w:val="center"/>
          </w:tcPr>
          <w:p>
            <w:pPr>
              <w:pStyle w:val="TableContents"/>
              <w:bidi w:val="0"/>
              <w:spacing w:before="0" w:after="283"/>
              <w:jc w:val="left"/>
              <w:rPr/>
            </w:pPr>
            <w:r>
              <w:rPr/>
              <w:t>Included within cash and cash equivalents and cash and cash equivalents, reserve accounts in the Company’s consolidated statements of assets and liabilities as of November 30, 2025.</w:t>
            </w:r>
          </w:p>
        </w:tc>
      </w:tr>
      <w:tr>
        <w:trPr/>
        <w:tc>
          <w:tcPr>
            <w:tcW w:w="330" w:type="dxa"/>
            <w:tcBorders/>
            <w:vAlign w:val="center"/>
          </w:tcPr>
          <w:p>
            <w:pPr>
              <w:pStyle w:val="TableContents"/>
              <w:bidi w:val="0"/>
              <w:spacing w:before="0" w:after="283"/>
              <w:jc w:val="left"/>
              <w:rPr/>
            </w:pPr>
            <w:r>
              <w:rPr/>
              <w:t>(m)</w:t>
            </w:r>
          </w:p>
        </w:tc>
        <w:tc>
          <w:tcPr>
            <w:tcW w:w="9875" w:type="dxa"/>
            <w:tcBorders/>
            <w:vAlign w:val="center"/>
          </w:tcPr>
          <w:p>
            <w:pPr>
              <w:pStyle w:val="TableContents"/>
              <w:bidi w:val="0"/>
              <w:spacing w:before="0" w:after="283"/>
              <w:jc w:val="left"/>
              <w:rPr/>
            </w:pPr>
            <w:r>
              <w:rPr/>
              <w:t>This investment elected to PIK 20% of accrued interest, with 80% of accrued interest payable in cash.</w:t>
            </w:r>
          </w:p>
        </w:tc>
      </w:tr>
      <w:tr>
        <w:trPr/>
        <w:tc>
          <w:tcPr>
            <w:tcW w:w="330" w:type="dxa"/>
            <w:tcBorders/>
            <w:vAlign w:val="center"/>
          </w:tcPr>
          <w:p>
            <w:pPr>
              <w:pStyle w:val="TableContents"/>
              <w:bidi w:val="0"/>
              <w:spacing w:before="0" w:after="283"/>
              <w:jc w:val="left"/>
              <w:rPr/>
            </w:pPr>
            <w:r>
              <w:rPr/>
              <w:t xml:space="preserve">(n) </w:t>
            </w:r>
          </w:p>
        </w:tc>
        <w:tc>
          <w:tcPr>
            <w:tcW w:w="9875" w:type="dxa"/>
            <w:tcBorders/>
            <w:vAlign w:val="center"/>
          </w:tcPr>
          <w:p>
            <w:pPr>
              <w:pStyle w:val="TableContents"/>
              <w:bidi w:val="0"/>
              <w:spacing w:before="0" w:after="283"/>
              <w:jc w:val="left"/>
              <w:rPr/>
            </w:pPr>
            <w:r>
              <w:rPr/>
              <w:t>On September 24, 2025, the Company completed the first refinancing of SLF 2022. This refinancing, among other things, extended the SLF 2022’s investment period to October 2028. As part of this refinancing, the Company purchased $8.8 million of the SLF 2022-1 Class E-R Notes tranche at par. Concurrently, the existing $12.3 million of the SLF 2022-1 Class E Notes were repaid. The Company also paid $1.6 million of additional equity investment related to the refinancing to SLF JV. (See Note 5 to the consolidated financial statements in the Quarterly Report on Form 10-Q for the quarter ended November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SOFR -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1M USD TERM SOFR - The 1 month USD TERM SOFR rate as of November 30, 2025 was 3.86%.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3M USD TERM SOFR - The 3 month USD TERM SOFR rate as of November 30, 2025 was 3.79%.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6M USD TERM SOFR – The 6 month USD TERM SOFR rate as of November 30, 2025 was 3.70%.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For a brief description of the portfolio company in which the fair value of our investment represents greater than 5% of our total assets as of November 30, 2025, excluding Saratoga CLO, SLF JV and SLF 2022, see Note 3 to our unaudited consolidated financial statements in our most recent Quarterly Report on </w:t>
      </w:r>
      <w:hyperlink r:id="rId2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4"/>
      <w:bookmarkEnd w:id="28"/>
      <w:r>
        <w:rPr>
          <w:rFonts w:ascii="Times New Roman;Times;Serif" w:hAnsi="Times New Roman;Times;Serif"/>
          <w:b/>
          <w:i w:val="false"/>
          <w:caps w:val="false"/>
          <w:smallCaps w:val="false"/>
          <w:sz w:val="20"/>
        </w:rPr>
        <w:t>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 entitled “Directors, Executive Officers and Corporate Governance” in Part III, Item 10 of our most recent Annual Report on </w:t>
      </w:r>
      <w:hyperlink r:id="rId26">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5"/>
      <w:bookmarkEnd w:id="29"/>
      <w:r>
        <w:rPr>
          <w:rFonts w:ascii="Times New Roman;Times;Serif" w:hAnsi="Times New Roman;Times;Serif"/>
          <w:b/>
          <w:i w:val="false"/>
          <w:caps w:val="false"/>
          <w:smallCaps w:val="false"/>
          <w:sz w:val="20"/>
        </w:rPr>
        <w:t xml:space="preserve">MANAGEMENT AND OTHER AGREEMENTS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sections entitled “Investment Advisory and Management Agreement,” “Administration Agreement” and “License Agreement” in the “Business” section of Part I, Item 1 of our most recent Annual Report on </w:t>
      </w:r>
      <w:hyperlink r:id="rId2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in the notes to our audited consolidated financial statements under the caption “Note 7. Agreements and Related Party Transactions” in our most recent Annual Report on </w:t>
      </w:r>
      <w:hyperlink r:id="rId28">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and in the notes to our unaudited consolidated financial statements under the caption “Note 7. Agreements and Related Party Transactions” in our most recent Quarterly Report on </w:t>
      </w:r>
      <w:hyperlink r:id="rId29">
        <w:r>
          <w:rPr>
            <w:rStyle w:val="InternetLink"/>
            <w:rFonts w:ascii="Times New Roman;Times;Serif" w:hAnsi="Times New Roman;Times;Serif"/>
            <w:b w:val="false"/>
            <w:i w:val="false"/>
            <w:caps w:val="false"/>
            <w:smallCaps w:val="false"/>
            <w:sz w:val="20"/>
          </w:rPr>
          <w:t>Form 10-Q </w:t>
        </w:r>
      </w:hyperlink>
      <w:r>
        <w:rPr>
          <w:rFonts w:ascii="Times New Roman;Times;Serif" w:hAnsi="Times New Roman;Times;Serif"/>
          <w:b w:val="false"/>
          <w:i w:val="false"/>
          <w:caps w:val="false"/>
          <w:smallCaps w:val="false"/>
          <w:sz w:val="20"/>
        </w:rPr>
        <w:t>is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6"/>
      <w:bookmarkEnd w:id="30"/>
      <w:r>
        <w:rPr>
          <w:rFonts w:ascii="Times New Roman;Times;Serif" w:hAnsi="Times New Roman;Times;Serif"/>
          <w:b/>
          <w:i w:val="false"/>
          <w:caps w:val="false"/>
          <w:smallCaps w:val="false"/>
          <w:sz w:val="20"/>
        </w:rPr>
        <w:t>PORTFOLIO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The information in the section entitled “Portfolio Management” in our most recent Definitive Proxy Statement on </w:t>
      </w:r>
      <w:hyperlink r:id="rId30">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7"/>
      <w:bookmarkEnd w:id="31"/>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 entitled “Certain Relationships and Related Transactions, and Director Independence” in Part III, Item 13 of our most recent Annual Report on </w:t>
      </w:r>
      <w:hyperlink r:id="rId31">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18"/>
      <w:bookmarkEnd w:id="32"/>
      <w:r>
        <w:rPr>
          <w:rFonts w:ascii="Times New Roman;Times;Serif" w:hAnsi="Times New Roman;Times;Serif"/>
          <w:b/>
          <w:i w:val="false"/>
          <w:caps w:val="false"/>
          <w:smallCaps w:val="false"/>
          <w:sz w:val="20"/>
        </w:rPr>
        <w:t xml:space="preserve">CONTROL PERSONS AND PRINCIPAL STOCKHOLDERS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 entitled “Security Ownership of Certain Beneficial Owners and Management and Related Stockholder Matters” in Part III, Item 12 of our most recent Annual Report on </w:t>
      </w:r>
      <w:hyperlink r:id="rId3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19"/>
      <w:bookmarkEnd w:id="33"/>
      <w:r>
        <w:rPr>
          <w:rFonts w:ascii="Times New Roman;Times;Serif" w:hAnsi="Times New Roman;Times;Serif"/>
          <w:b/>
          <w:i w:val="false"/>
          <w:caps w:val="false"/>
          <w:smallCaps w:val="false"/>
          <w:sz w:val="20"/>
        </w:rPr>
        <w:t xml:space="preserve">REGULATION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information in the sections entitled “Business Development Company Regulations” and “Small Business Investment Company Regulations” in the “Business” section of Part I, Item 1 of our most recent Annual Report on </w:t>
      </w:r>
      <w:hyperlink r:id="rId3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20"/>
      <w:bookmarkEnd w:id="34"/>
      <w:r>
        <w:rPr>
          <w:rFonts w:ascii="Times New Roman;Times;Serif" w:hAnsi="Times New Roman;Times;Serif"/>
          <w:b/>
          <w:i w:val="false"/>
          <w:caps w:val="false"/>
          <w:smallCaps w:val="false"/>
          <w:sz w:val="20"/>
        </w:rPr>
        <w:t xml:space="preserve">CERTAIN U.S. FEDERAL INCOME TAX CONSIDERATIONS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certain U.S. federal income tax considerations applicable to us and to an investment in shares of our common stock which is based on the provisions of the Code and the Treasury regulations in effect as they directly govern our U.S. federal income tax treatment and the U.S. federal income taxation of our stockholders. These provisions are subject to differing interpretations and change by legislative or administrative action, and any change may be retroactive, which could affect the continuing validity of this discussion. The discussion does not purport to deal with all of the U.S. federal income tax consequences applicable to us, or which may be important to particular stockholders in light of their individual investment circumstances or to some types of stockholders subject to special tax rules, such as financial institutions, broker-dealers, insurance companies, tax-exempt organizations, partnerships or other pass-through entities, persons holding our common shares in connection with a hedging, straddle, conversion or other integrated transaction, persons engaged in a trade or business in the United States certain former citizens and long-term residents of the United States, persons subject to the alternative minimum tax, pension plans and trusts, persons whose functional currency is not the U.S. dollar, regulated investment companies, real estate investment trusts, personal holding companies, persons who acquire an interest in the fund in connection with the performance of services, persons required to accelerate the recognition of any item of gross income as a result of such income being taken into account on an applicable financial statement. Such persons should consult with their own tax advisors as to the U.S. federal income tax consequences of an investment in our common stock, which may differ substantially from those described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assumes that the stockholders hold their common shares as capital assets for U.S. federal income tax purposes (generally, assets held for investment). No attempt is made to present a detailed explanation of all U.S. federal income tax aspects affecting us and our stockholders, and the discussion set forth herein does not constitute tax advice. This summary also does not discuss any aspects of U.S. estate or gift tax or non-U.S. state or local tax. It does not discuss the special treatment under U.S. federal income tax laws that could result if we invested in tax-exempt securities or certain other investment assets. No ruling has been or will be sought from the Internal Revenue Service, which we refer to as the IRS, regarding any matter discussed herein.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Tax counsel has not rendered any legal opinion regarding any tax consequences relating to us or our stockholders. Stockholders are urged to consult their own tax advisors to determine the U.S. federal, state, local and foreign tax consequences to them of investing in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the consequences of an investment in shares of our preferred stock, debt securities or warrants representing rights to purchase shares of our common stock, preferred stock, debt or securities. The tax consequences of such an investment will be discussed in a relevant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stockholder” is a holder or a beneficial holder of shares of our common stock which is for U.S. federal income tax purposes (1) a citizen or individual resident of the United States (2) a corporation (or other entity taxable as a corporation) created or organized in or under the laws of the United States or any state thereof or the District of Columbia, (3) an estate whose income is subject to U.S. federal income tax regardless of its source, or (4) a trust if (a) a U.S. court is able to exercise primary supervision over the trust’s administration and one or more U.S. persons are authorized to control all substantial decisions of the trust or (b) the trust has in effect a valid election to be treated as a domestic trust for U.S. federal income tax purposes. A “non-U.S. stockholder” is a holder that is neither a U.S. stockholder nor a partnership (including an entity or arrangement treated as a partnership for U.S. federal income tax purposes). If a partnership or other entity classified as a partnership for U.S. federal income tax purposes holds the shares, the tax treatment of the partnership and each partner generally will depend on the activities of the partnership and the activities of the partner. Partnerships acquiring shares, and partners in such partnerships, should consult their own tax advisors. Prospective investors that are not U.S. stockholders should refer to “Non-U.S. Stockholders”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complicated and prospective investors in our shares are urged to consult their own tax advisors with respect to the U.S. federal income tax and state, local and non-U.S. tax consequences of an investment in our shares, including the potential application of U.S. withholding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to Be Taxed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and qualified to be treated as a RIC under subchapter M of the Code, and we intend to continue to qualify each year as a RIC. However, no assurance can be given that we will be able to maintain our RIC tax treatment. As a RIC, we generally will not be subject to U.S. federal income tax on any net ordinary income or capital gain net income that we timely distribute to our stockholders as dividends. To qualify as a RIC, we must, among other things, meet certain source-of-income and asset diversification requirements (as described below). In addition, we generally must timely distribute to our stockholders, for each taxable year, at least 90% of our “investment company taxable income,” which is generally our net ordinary income plus the excess of realized net short-term capital gains over realized net long-term capital losses (the “Annual Distribution Requirement”). Our SBIC subsidiary may be limited by the Small Business Investment Act of 1958, and SBA regulations governing SBICs, from making certain distributions to us that may be necessary to enable us to maintain our status as a RIC. We may have to request a waiver of the SBA’s restrictions for our SBIC subsidiary to make certain distributions to maintain our RIC status. We cannot assure you that the SBA will grant such a waiver.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we will not be subject to U.S. federal income tax on the portion of our investment company taxable income (“ICTI”) and net capital gain, defined as net long-term capital gains in excess of net short-term capital losses, that we distribute (or are deemed to distribute) to stockholders. We will be subject to U.S. federal income tax imposed at corporate rates on any net income or net capital gain not distributed (or deemed distributed)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a nondeductible U.S. federal excise tax of 4% on certain undistributed income if we do not distribute in a timely manner an amount at least equal to the sum of (a) 98% of our net ordinary income for each calendar year, (b) 98.2% of our capital gain net income for the one-year period ending on October 31 of such calendar year, and (c) any net ordinary income and capital gain net income that we recognized in preceding years, but were not distributed during such years, and on which we did not pay U.S. federal income tax. Depending on the level of ICTI earned in a tax year and the amount of net capital gains recognized in such tax year, the Company may choose to carry forward ICTI and net capital gains in excess of current year dividend distributions into the next tax year. In order to eliminate our liability for U.S. federal income tax, and to the extent necessary to maintain our qualification as a RIC, any such carryover ICTI and net capital gains generally must be distributed before the end of that next tax year through a dividend declared prior to the 15th day of the 9th month after the close of the taxable year in which such ICTI was generated.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for U.S. federal income tax purposes, we must, among other things: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105"/>
        <w:gridCol w:w="200"/>
        <w:gridCol w:w="83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pPr>
            <w:r>
              <w:rPr/>
              <w:t>qualify to be treated as a BDC under the 1940 Act at all times during each taxable year;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derive in each taxable year at least 90% of our gross income from dividends, interest, payments with respect to certain securities loans, gains from the sale of stock or other securities or foreign currencies, or other income derived with respect to our business of investing in such stock or securities or foreign currencies , and net income derived from interests in “qualified publicly traded partnerships” (partnerships that are traded on an established securities market or tradable on a secondary market, other than partnerships that derive 90% of their income from interest, dividends and other permitted RIC income) (the “90% Income Test”);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145" w:type="dxa"/>
            <w:tcBorders/>
            <w:vAlign w:val="center"/>
          </w:tcPr>
          <w:p>
            <w:pPr>
              <w:pStyle w:val="TableContents"/>
              <w:bidi w:val="0"/>
              <w:spacing w:before="0" w:after="283"/>
              <w:jc w:val="both"/>
              <w:rPr/>
            </w:pPr>
            <w:r>
              <w:rPr/>
              <w:t>diversify our holdings so that at the end of each quarter of the taxable year: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(the “Diversification Tests”).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ICTI for the year of accrual, we may be required to make a distribution to our stockholders in order to satisfy the Annual Distribution Requirement, even though we will not have received any corresponding cash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 — Senior Securities.” If we are prohibited from making distributions, we may fail to qualify for tax treatment as a RIC and become subject to U.S. federal income tax. Moreover, our ability to dispose of assets to meet our distribution requirements may be limited by (1) the illiquid nature of our portfolio and/or (2) other requirements relating to our qualification as a RIC, including the Diversification Tests. If we dispose of assets in order to meet the Annual Distribution Requirement or the U.S. federal excise tax requirement, we may make such dispositions at times that, from an investment standpoint, are not advantageous.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Qualify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continue to qualify for treatment as a RIC, and certain cure provisions are not applicable, we would be subject to U.S. federal income tax on all of our taxable income (including our net capital gains) imposed at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holding period and other limitations under the Code, corporate distributees would be eligible for the dividends received deduction, and non-corporate distributes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 To requalify as a RIC in a subsequent taxable year, we would be required to satisfy the RIC qualification requirements for that year and distribute all of our previously undistributed earnings and profits from any year in which we failed to qualify as a RIC by the end of the first year that we intend to requalify as a RIC. Subject to a limited exception applicable to RICs that qualified as such for at least one year prior to disqualification and that requalify as a RIC no later than the second year following the non-qualifying year, we could be subject to U.S. federal income tax imposed at corporate rates on any unrealized net built-in appreciation on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investment practices are subject to special and complex U.S. federal income tax provisions that may, among other things, (1) disallow, suspend or otherwise limit the allowance of certain losses or deductions, including the dividends received deduction, (2) convert lower taxed long-term capital gains and qualified dividend income into higher taxed short-term capital gains or ordinary income, (3) convert ordinary loss or a deduction into capital loss (the deductibility of which is more limited), (4) 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qualify as good income for purposes of the 90% annual gross income requirement described above. We will monitor our transactions and may make certain tax elections and may be required to borrow money or dispose of securities to mitigate the effect of these rules and prevent disqualification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realized by us from warrants acquired by us as well as any loss attributable to the lapse of such warrants generally will be treated as capital gain or loss. Such gain or loss generally will be long term or short term, depending on how long we held a particular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invest in foreign securities, we may be subject to withholding and other foreign taxes with respect to those securities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In that case, our yield on those securities would be decreased. We do not expect to satisfy the requirements necessary to pass through to our stockholders their share of the foreign taxes paid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purchase shares in a “passive foreign investment company” (a “PFIC”), we may be subject to U.S. federal income tax on any “excess distribution” received on, or any gain from the disposition of such shares. Additional charges in the nature of interest generally will be imposed on us in respect of deferred taxes arising from any such excess distributions or gain. This additional tax and interest may apply even if we make a distribution as a taxable dividend by us to our stockholders in an amount equal to (1) any excess distribution, or (2) the gain from the dispositions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any increase in the value of such shares, and as ordinary loss any decrease in such value to the extent that any such decrease does not exceed prior increases included in our income. Under either election, we may be required to recognize income in excess of distributions from PFICs and our proceeds from dispositions of PFIC stock during that year, and such income will nevertheless be subject to the Annual Distribution Requirement and will be taken into account for purposes of the 4% U.S. federal excise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U.S. Shareholder (as defined below) of a foreign corporation that is treated as a controlled foreign corporation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of all classes of shares of a corporation or 10% or more of the total value of shares of all classes of shares of such corporation. If we are treated as receiving a deemed distribution from a CFC, we will be required to include such distribution in our ICTI regardless of whether we receive any actual distributions from such CFC, and such income will nevertheless be subject to the Annual Distribution Requirement and will be taken into account for purposes of the 4% U.S. federal excise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inclusions from a QEF or CFC will be “good income” for purposes of the 90% Income Test provided that they are derived in connection with our business of investing in stocks and securities or the QEF or CFC distributes such income to us in the same taxable year to which the income is included in our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remainder of this discussion assumes that we qualify as a RIC and have satisfied the Annual Distribution Requirement.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by us generally are taxable to U.S. Shareholders as ordinary income or capital gains. Distributions we pay to you from our net ordinary income or from an excess of realized net short-term capital gains over realized net long-term capital losses (together referred to hereinafter as “ordinary income dividends”) are generally taxable to you as ordinary income to the extent of our earnings and profits, whether paid in cash or reinvested in additional shares of our common stock. Due to our expected investments, in general, distributions will not be eligible for the dividends received deduction allowed to corporate stockholders and will not qualify for the reduced rates of tax for qualified dividend income allowed to individuals. Distributions made to you from an excess of realized net long-term capital gains over realized net short-term capital losses (“capital gain dividends”), including capital gain dividends credited to you but retained by us, are taxable to you as long-term capital gains if they have been properly designated by us, regardless of the length of time you have owned our shares. Distributions in excess of our earnings and profits will first reduce the adjusted tax basis of your shares and, after the adjusted tax basis is reduced to zero, will constitute capital gains to you (assuming the shares are held as a capital asset). For non-corporate taxpayers, ordinary income dividends will currently be taxed at a maximum rate of 37%, while capital gain dividends generally will be currently taxed at a maximum U.S. federal income tax rate of 20 percent. For corporate taxpayers, both ordinary income dividends and capital gain dividends are currently taxed at a maximum U.S. federal income tax rate of 21 percent.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individuals with income in excess of $200,000 ($250,000 in the case of married individuals filing jointly and $125,000 in the case of married individuals filing separately) and certain estates and trusts are subject to an additional 3.8% surtax on their “net investment income,” which generally includes gross income from interest, dividends, annuities, royalties, and rents, and net capital gains (other than certain amounts earned from trades or businesses).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retain any net capital gains, we may designate the retained amounts as undistributed capital gains in a notice to our stockholders. If a designation is made, stockholders would include in income, as long-term capital gains, their proportionate share of the undistributed amounts, but would be allowed a credit or refund, as the case may be, for their proportionate share of the corporate tax paid by us. In addition, the tax basis of shares owned by a stockholder would be increased by an amount equal to the difference between (i) the amount included in the stockholder’s income as long-term capital gains and (ii) the stockholder’s proportionate share of the corporate tax paid by us. In order to utilize the deemed distribution approach, we must provide written notice to our stockholders prior to the expiration of 60 days after the close of the relevant taxable year. We cannot treat any of our ICTI as a deemed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IRS has issued a revenue procedure indicating that this rule will apply where the total amount of cash to be distributed is limited to not less than 20% of the total distribution. Under this revenue procedure, if too many stockholders elect to receive their distributions in cash, each such stockholder would receive a pro rata share of the total cash to be distributed and would receive the remainder of their distribution in shares of stock. If we decide to make any distributions consistent with this revenue procedure that are payable in part in our stock, taxable stockholders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If a significant number of our stockholders determine to sell shares of our stock in order to pay taxes owed on dividends, it may put downward pressure on the trading price of our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reinvestment of dividends, if a U.S. Shareholder owns shares of our common stock registered in its own name, the U.S. Shareholder will have all cash distributions automatically reinvested in additional shares of our common stock unless the U.S. Shareholder opts out of the reinvestment of dividends. Any distributions reinvested will nevertheless remain taxable to the U.S. Shareholder. The U.S. Shareholder will have an adjusted tax basis in the additional shares of our common stock purchased through the reinvestment equal to the amount of the reinvested distribution. The additional shares will have a new holding period commencing on the day following the day on which the shares are credited to the U.S. Shareholder’s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purchases shares of our common stock after a dividend has been declared and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applicable withholding agent) will send to each of our U.S. stockholders after the end of each calendar year, as promptly as possible after the end of each calendar year, a notice reporting the amounts includible in such U.S. stockholder’s taxable income for such year as ordinary income and as long-term capital gain. In addition, the U.S. federal tax status of each year’s distributions generally will be reported to the IRS (including the amount of dividends, if any, eligible for the 20% maximum rate). Dividends paid by us generally will not be eligible for the dividends-received deduction or the preferential tax rate applicable to Qualifying Dividends because our income generally will not consist of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(i) whether the Annual Distribution Requirement is satisfied for any year and (ii)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will generally recognize gain or loss on the sale or exchange of our common shares in an amount equal to the difference between the stockholder’s adjusted tax basis in the shares sold or exchanged and the amount realized on their disposition. Generally, gain recognized by a stockholder on the sale or other disposition of our common shares will result in capital gain or loss, and will be a long-term capital gain or loss if the shares have been held for more than one year at the time of sale. Any loss upon the sale or exchange of our shares held for six months or less will be treated as a long-term capital loss to the extent of any capital gain dividends received (including amounts credited as an undistributed capital gain dividend). A loss realized on a sale or exchange of our shares will be disallowed if other substantially identical shares are acquired (whether through the automatic reinvestment of dividends or otherwise) within a 61-day period beginning 30 days before and ending 30 days after the date that the shares are disposed of. In this case, the basis of the shares acquired will be adjusted to reflect the disallowed loss. Non-corporate stockholders with net capital losses for a year (i.e., net capital losses in excess of net capital gains) generally may deduct up to $3,000 of such losses against their ordinary income each year; any net capital losses of a non-corporate stockholder in excess of $3,000 generally may be carried forward and used in subsequent years, subject to certain limitations, as provided in the Code. Corporate stockholders generally may not deduct any net capital losses for a year, but may carryback such losses for three years or carry forward such losses for five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consult their own tax advisors with respect to the U.S. federal income tax and withholding tax, and state, local and foreign tax consequences of an investment in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Backup Withholding. </w:t>
      </w:r>
      <w:r>
        <w:rPr>
          <w:rFonts w:ascii="Times New Roman;Times;Serif" w:hAnsi="Times New Roman;Times;Serif"/>
          <w:b w:val="false"/>
          <w:i w:val="false"/>
          <w:caps w:val="false"/>
          <w:smallCaps w:val="false"/>
          <w:sz w:val="20"/>
        </w:rPr>
        <w:t>We are required in certain circumstances to backup withhold on taxable dividends or distributions and certain other payments paid to non-corporate stockholders who do not furnish us with their correct taxpayer identification number (generally,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furnished to the IRS.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Reportable Transactions Reporting.</w:t>
      </w:r>
      <w:r>
        <w:rPr>
          <w:rFonts w:ascii="Times New Roman;Times;Serif" w:hAnsi="Times New Roman;Times;Serif"/>
          <w:b w:val="false"/>
          <w:i w:val="false"/>
          <w:caps w:val="false"/>
          <w:smallCaps w:val="false"/>
          <w:sz w:val="20"/>
        </w:rPr>
        <w:t> If a U.S. stockholder recognizes a loss with respect to shares of our common stock of $2 million or more for an individual stockholder or $10 million or more for a corporate stockholder, the stockholder must file with the IRS a disclosure statement on Form 8886. Direct stockholders of portfolio securities are in many cases exempted from this reporting requirement, but under current guidance, stockholders of a RIC are not exempted. The fact that a loss is reportable under these regulations does not affect the legal determination of whether the taxpayer’s treatment of the loss is proper. U.S. stockholders should consult their tax advisors to determine the applicability of these regulations in light of their specific circumstances.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only applies to non-U.S. stockholders. Whether an investment in our common stock is appropriate for a non-U.S. stockholder will depend upon that person’s particular circumstances. An investment in our common stock by a non-U.S. stockholder may have adverse tax consequences. Non-U.S. stockholders should consult their tax advisors before investing in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concerning backup withholding and FATCA (defined below), distributions of our ICTI to non-U.S. stockholders will be subject to withholding of U.S. federal tax imposed at a 30% rate (or lower rate provided by an applicable treaty) to the extent of our current and accumulated earnings and profits unless an applicable exception applies. However, no withholding will be required with respect to such distributions if (i) the distributions are properly reported to our shareholders as “interest-related dividends” or “short-term capital gain dividends,” (ii) the distributions are derived from sources specified in the Code for such dividends and (iii) certain other requirements are satisfied. If the distributions are effectively connected with the conduct of a trade or business in the United States (a “U.S. trade or business”) by the non-U.S. shareholder (and, if an income tax treaty applies, such distributions are attributable to a permanent establishment maintained by the non-U.S. shareholder within the United States), we will not be required to withhold U.S. federal tax if the non-U.S. shareholder complies with applicable certification and disclosure requirements, although the distributions will be subject to U.S. federal income tax at the rates applicable to U.S. persons. Special certification requirements apply to a Non-U.S. shareholder that is a foreign partnership or a foreign trust, and such entities are urged to consult their own tax adviser.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deemed distributions of our net capital gains to a non-U.S. stockholder, and gains recognized by a non-U.S. stockholder upon the sale or other disposition of our common stock, generally will not be subject to U.S. federal withholding tax and generally will not be subject to U.S. federal income tax unless the distributions or gains, as the case may be, are effectively connected with a U.S. trade or business of the non-U.S. stockholder (and, if an income tax treaty applies, are attributable to a permanent establishment maintained by the Non-U.S. shareholder in the United States) or, in the case of an individual, such individual is present in the United States for 183 days or more during a taxable year and certain other conditions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our net capital gains in the form of deemed rather than actual distributions (which we may do in the future), a non-U.S. stockholder will be entitled to a U.S. federal income tax credit or tax refund equal to the stockholder’s allocable share of the tax we pay on the capital gains deemed to have been distributed. In order to obtain the refund, the non-U.S. stockholder must obtain a U.S. taxpayer identification number and file a U.S. federal income tax return even if the non-U.S. stockholder is not otherwise required to obtain a U.S. taxpayer identification number or file a U.S. federal income tax return.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actual or deemed distributions of our net capital gains, or any gains realized upon the sale, exchange or other taxable disposition of our common stock, are effectively connected with a U.S. trade or business of the non-U.S. stockholder (and, if an income tax treaty applies, are attributable to a permanent establishment maintained by the non-U.S. stockholder in the United States), such amounts will be subject to U.S. federal income tax, on a net income basis, in the same manner, and at the graduated rates applicable to, a U.S. stockholder.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the shares may not be appropriate for certain non-U.S.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 our stockholders who have not “opted out” of our Plan will have their cash distributions automatically reinvested in additional common stock, rather than receiving the cash distributions. If the distribution is a distribution of our ICTI and is not properly reported by us as a short-term capital gains dividend or interest-related dividend, the amount distributed (to the extent of our current and accumulated earnings and profits) will be subject to U.S. federal withholding tax as described above and only the net after-tax amount will be reinvested in our common stock. If the distribution is effectively connected with a U.S. trade or business of the non-U.S. stockholder (and, if an income tax treaty applies, is attributable to a permanent establishment maintained by the non-U.S. stockholder in the United States), generally the full amount of the distribution will be reinvested in the Plan and will nevertheless be subject to U.S. federal income tax at the ordinary income rates applicable to U.S. persons. The non-U.S. stockholder will have an adjusted tax basis in the additional common stock purchased through the Plan equal to the amount reinvested. The additional common stock will have a new holding period commencing on the day following the day on which the common stock is credited to the non-U.S. stockholder’s account.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Backup Withholding.</w:t>
      </w:r>
      <w:r>
        <w:rPr>
          <w:rFonts w:ascii="Times New Roman;Times;Serif" w:hAnsi="Times New Roman;Times;Serif"/>
          <w:b w:val="false"/>
          <w:i w:val="false"/>
          <w:caps w:val="false"/>
          <w:smallCaps w:val="false"/>
          <w:sz w:val="20"/>
        </w:rPr>
        <w:t> 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United States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IRS Form W-8BEN-E, or IRS Form W-8ECI, or certain other requirements are met. Backup withholding is not an additional tax. Any amounts withheld from payments made to you may be refunded or credited against U.S. federal income tax liability, if any, provided that the required information is furnished to the 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persons should consult their own tax advisors with respect to the U.S. federal income tax and withholding tax, and state, local and foreign tax consequences of an investment in our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U.S. person and certain financial information associated with the holder’s account. In addition, subject to certain exceptions, this legislation also imposes a 30% withholding on certain payments to certain foreign entities that are not FFIs unless the foreign entity certifies that it does not have a greater than 10% owner that is a specified U.S. person or provides the withholding agent with identifying information on each greater than 10% owner that is a specified U.S person. Depending on the status of a beneficial owner and the status of the intermediaries through which they hold their shares, beneficial owners of our common stock could be subject to this 30% withholding tax with respect to distributions on their shares. Under certain circumstances, a beneficial owner might be eligible for refunds or credits of such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21"/>
      <w:bookmarkEnd w:id="35"/>
      <w:r>
        <w:rPr>
          <w:rFonts w:ascii="Times New Roman;Times;Serif" w:hAnsi="Times New Roman;Times;Serif"/>
          <w:b/>
          <w:i w:val="false"/>
          <w:caps w:val="false"/>
          <w:smallCaps w:val="false"/>
          <w:sz w:val="20"/>
        </w:rPr>
        <w:t>DETERMINATION OF NET ASSET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NAV per share of our outstanding shares of common stock is determined quarterly by dividing the value of total assets minus liabilities by the total number of shares of common stock outstanding at the date as of which the determination is made.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carry our investments at fair value, as approved in good faith using written policies and procedures adopted by our board of directors. Investments for which market quotations are readily available are fair valued at such market quotations obtained from independent third-party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Advisors, our audit committee of our board of directors and a third-party independent valuation firm. We use multiple techniques for determining fair value based on the nature of the investment and experience with those types of investments and specific portfolio companies. The selections of the valuation techniques and the inputs and assumptions used within those techniques often require subjective judgments and estimates. These techniques include market comparables, discounted cash flows and enterprise value waterfalls. Fair value is best expressed as a range of values from which the Company determines a single best estimate. The types of inputs and assumptions that may be considered in determining the range of values of our investments include the nature and realizable value of any collateral, the portfolio company’s ability to make payments, market yield trend analysis and volatility in future interest rates, call and put features, the markets in which the portfolio company does business, comparison to publicly traded companies, discounted cash flow and other relevant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the subordinated notes of Saratoga CLO, Class F-2-R-3 Notes of the Saratoga CLO and the Class E Notes of SLF 2022 are carried at fair value, which is based on a discounted cash flow valuation technique that utilizes prepayment, re-investment and loss inputs based on historical experience and projected performance, economic factors, the characteristics of the underlying cash flow, and comparable yields for equity interests in collateralized loan obligation funds, when available, as determined by Saratoga Investment Advisors and recommended to our board of directors. Specifically, we use Intex cash flows, or an appropriate substitute, to form the basis for the valuation of our investment in the subordinated notes of Saratoga CLO, Class F-2-R-3 Notes of the Saratoga CLO and the Class E Notes of SLF 2022. The inputs are based on available market data and projections provided by third parties as well as management estimates. We use the output from the Intex models (i.e., the estimated cash flows) to perform a discounted cash flow analysis on expected future cash flows to determine the valuation for our investment in Saratoga CLO.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investment in SLF JV is measured using the proportionate share of the NAV, or equivalent, of SLF JV as a practical expedient for fair value, provided by ASC 820. Our unsecured loan investment in SLF JV is based on a discounted cash flow valuation technique.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a multi-step valuation process each quarter when valuing investments for which market quotations are not readily available, as described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each investment is initially valued by the responsible investment professionals of Saratoga Investment Advisors and preliminary valuation conclusions are documented, reviewed and discussed with our senior management;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an independent valuation firm engaged by our board of directors independently reviews a selection of these preliminary valuations each quarter so that the valuation of each investment for which market quotes are not readily available is reviewed by the independent valuation firm at least once each fiscal year. We use a third-party independent valuation firm to value our investments in the subordinated notes of Saratoga CLO, the Class F-2-R-3 Notes tranche of the Saratoga CLO, and the Class E Notes tranche of the SLF 2022 every quarter.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our investments are subject to the following valuation process: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the audit committee of our board of directors reviews and approves each preliminary valuation and our investment adviser and independent valuation firm (if applicable) will supplement the preliminary valuation to reflect any comments provided by the audit committee; and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our board of directors discusses the valuations and approves the fair value of each investment in good faith based on the input of our investment adviser, independent valuation firm (to the extent applicable) and the audit committee of our board of directors.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such valuations, and particularly valuations of private investments and private companies, are inherently uncertain, they may fluctuate over short periods of time and may be based on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fair value may differ materially from the values that would have been used if a ready market for these investments existed. Our NAV could be materially affected if the determinations regarding the fair value of our investments were materially higher or lower than the values that we ultimately realize upon the disposal of such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2a-5 under the 1940 Act (“Rule 2a-5”) establishes a regulatory framework for determining fair value in good faith for purposes of the 1940 Act. Rule 2a-5 permits boards, subject to board oversight and certain other conditions, to designate the investment adviser to perform fair value determinations. Rule 2a-5 also defines when market quotations are “readily available” for purposes of the 1940 Act and the threshold for determining whether a fund must determine the fair value of a security. Rule 31a-4 under the 1940 Act (“Rule 31a-4”) provides the recordkeeping requirements associated with fair value determinations. While our board of directors has not elected to designate Saratoga Investment Advisors as the valuation designee, the Company has established policies and procedures in compliance with the applicable requirements of Rule 2a-5 and Rule 31a-4.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2006, the Financial Accounting Standards Board, (the “FASB”), issued Statement of Financial Accounting Standards No. 157, “Fair Value Measurements” (“FAS 157”). In conjunction with Accounting Standards Codification (“ASC”) 105 issued by the FASB in June 2009, FAS 157 has been codified in ASC 820, “Fair Value Measurement and Disclosures” (“ASC 820”). ASC 820 defines fair value, establishes a framework for measuring fair value in accordance with Generally Accepted Accounting Principles in the United Sates, or GAAP, and expands disclosures about fair value measurements.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all investments in accordance with ASC 820. As defined in ASC 820, fair value is the price that would be received to sell an asset or paid to transfer a liability in an orderly transaction between independent market participants at the measurement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observability of the inputs used in the valuation techniques, we are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Level 1—Valuations based on quoted prices in active markets for identical assets or liabilities that we have the ability to access.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Level 2—Pricing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that are generally included in this category include illiquid debt securities and less liquid, privately held or restricted equity securities, for which some level of recent trading activity has been observed.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Level 3—Pricing inputs are unobservable for the investment and includes situations where there is little, if any, market activity for the investment. The inputs may be based on the our own assumptions about how market participants would price the asset or liability or may use Level 2 inputs, as adjusted, to reflect specific investment attributes relative to a broader market assumption. Even if observable market data for comparable performance or valuation measures (earnings multiples, discount rates, other financial/valuation ratios, etc.) are available, such investments are grouped as Level 3 if any significant data point that is not also market observable (private company earnings, cash flows, etc.) is used in the valuation technique. We use multiple techniques for determining fair value based on the nature of the investment and experience with those types of investments and specific portfolio companies. The selections of the valuation techniques and the inputs and assumptions used within those techniques often require subjective judgements and estimates. These techniques include market comparables, discounted cash flows and enterprise value waterfalls. Fair value is best expressed as a range of values from which we determine a single best estimate. The types of inputs and assumptions that may be considered in determining the range of values of our investments include the nature and realizable value of any collateral, the portfolio company’s ability to make payments, market yield trend analysis and volatility in future interest rates, call and put features, the markets in which the portfolio company does business, comparison to publicly traded companies, discounted cash flows and other relevant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the above inputs in investment valuations, we continue to employ the valuation policy approved by the board of directors that is consistent with ASC 820 and the 1940 Act (see Note 2 in our most recent Annual Report on Form 10-K and most recent Quarterly Report on Form 10-Q). Consistent with our valuation policy, we evaluate the source of inputs, including any markets in which our investments are trading, in determining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Ongoing relationships with and monitoring of portfolio companies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Advisors will closely monitor each investment we make and, when appropriate, will conduct a regular dialogue with both the management team and other debtholders and seek specifically tailored financial reporting. In addition, in certain circumstances, senior investment professionals of Saratoga Investment Advisors may take board seats or board observation seats.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Determinations in Connection with Offerings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shares of our common stock, our board of directors or one of its committees will be required to make the determination that we are not selling shares of our common stock at a price below the then current NAV of our common stock or, if our shareholders have granted us the authority to sell shares of our common stock at a price below the then current NAV per share, at a level consistent with such explicit authority, at the time at which the sale is made. Our board of directors or the applicable committee will consider the following factors, among others, in making such determination: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the NAV of our common stock most recently disclosed by us in the most recent periodic report that we filed with the SEC;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our management’s assessment of whether any material change in the NAV of our common stock has occurred (including through the realization of gains on the sale of our portfolio securities) during the period beginning on the date of the most recently disclosed NAV of our common stock in our most recent periodic report that we filed with the SEC and ending two days prior to the date of the sale of our common stock; and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the magnitude of the difference between the NAV of our common stock most recently disclosed by us in our most recent periodic report that we filed with the SEC and our management’s assessment of any material change in the NAV of our common stock since that determination, and the offering price of the shares of our common stock in the proposed offering.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processes and procedures set forth above are part of our compliance policies and procedures. In addition, we will make a record of any such determinations made and such documentation will be maintained in a manner consistent with our other 1940 Act related materials.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22"/>
      <w:bookmarkEnd w:id="36"/>
      <w:r>
        <w:rPr>
          <w:rFonts w:ascii="Times New Roman;Times;Serif" w:hAnsi="Times New Roman;Times;Serif"/>
          <w:b/>
          <w:i w:val="false"/>
          <w:caps w:val="false"/>
          <w:smallCaps w:val="false"/>
          <w:sz w:val="20"/>
        </w:rPr>
        <w:t>SALES OF COMMON STOCK BELOW NET ASSET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generally able to sell our common stock at a price below NAV per share. We may, however, sell our common stock at a price below NAV per share (i) in connection with a rights offering to our existing stockholders, (ii) with the approval of our common stockholders, or (iii) under such other circumstances as the SEC may permit. For example, we may sell our common stock at a price below the then current NAV of our common stock if our board of directors determines that such sale is in our best interests and the best interests of our stockholders, and our stockholders approve our policy and practice of making such sales. We do not have stockholder approval and do not currently intend to seek stockholder approval to allow us to issue common stock at a price below NAV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offering of common stock below its NAV per share will be designed to raise capital for investment in accordance with our investment objective. In making a determination that an offering of common stock below its NAV per share is in our and our stockholders’ best interests, our board of directors will consider a variety of factors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effect that an offering below NAV per share would have on our stockholders, including the potential dilution to the NAV per share of our common stock our stockholders would experience as a result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amount per share by which the offering price per share and the net proceeds per share are less than our most recently determined NAV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the relationship of recent market prices of par common stock to NAV per share and the potential impact of the offering on the market price per share of our common stock;</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whether the estimated offering price would closely approximate the market value of shares of our common stock; </w:t>
            </w:r>
          </w:p>
        </w:tc>
      </w:tr>
    </w:tbl>
    <w:p>
      <w:pPr>
        <w:pStyle w:val="TextBody"/>
        <w:bidi w:val="0"/>
        <w:spacing w:before="0" w:after="0"/>
        <w:ind w:left="0" w:right="0" w:firstLine="36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105"/>
        <w:gridCol w:w="200"/>
        <w:gridCol w:w="98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830" w:type="dxa"/>
            <w:tcBorders/>
            <w:vAlign w:val="center"/>
          </w:tcPr>
          <w:p>
            <w:pPr>
              <w:pStyle w:val="TableContents"/>
              <w:bidi w:val="0"/>
              <w:spacing w:before="0" w:after="283"/>
              <w:jc w:val="both"/>
              <w:rPr/>
            </w:pPr>
            <w:r>
              <w:rPr/>
              <w:t xml:space="preserve">the potential market impact of being able to raise capital during the current financial market difficulties; </w:t>
            </w:r>
          </w:p>
        </w:tc>
      </w:tr>
    </w:tbl>
    <w:p>
      <w:pPr>
        <w:pStyle w:val="TextBody"/>
        <w:bidi w:val="0"/>
        <w:spacing w:before="0" w:after="0"/>
        <w:ind w:left="0" w:right="0" w:firstLine="36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05"/>
        <w:gridCol w:w="200"/>
        <w:gridCol w:w="93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350" w:type="dxa"/>
            <w:tcBorders/>
            <w:vAlign w:val="center"/>
          </w:tcPr>
          <w:p>
            <w:pPr>
              <w:pStyle w:val="TableContents"/>
              <w:bidi w:val="0"/>
              <w:spacing w:before="0" w:after="283"/>
              <w:jc w:val="both"/>
              <w:rPr/>
            </w:pPr>
            <w:r>
              <w:rPr/>
              <w:t xml:space="preserve">the nature of any new investors anticipated to acquire shares of our common stock in the offering; </w:t>
            </w:r>
          </w:p>
        </w:tc>
      </w:tr>
    </w:tbl>
    <w:p>
      <w:pPr>
        <w:pStyle w:val="TextBody"/>
        <w:bidi w:val="0"/>
        <w:spacing w:before="0" w:after="0"/>
        <w:ind w:left="0" w:right="0" w:firstLine="36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05"/>
        <w:gridCol w:w="200"/>
        <w:gridCol w:w="812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120" w:type="dxa"/>
            <w:tcBorders/>
            <w:vAlign w:val="center"/>
          </w:tcPr>
          <w:p>
            <w:pPr>
              <w:pStyle w:val="TableContents"/>
              <w:bidi w:val="0"/>
              <w:spacing w:before="0" w:after="283"/>
              <w:jc w:val="both"/>
              <w:rPr/>
            </w:pPr>
            <w:r>
              <w:rPr/>
              <w:t xml:space="preserve">the anticipated rate of return on and quality, type and availability of investments; and </w:t>
            </w:r>
          </w:p>
        </w:tc>
      </w:tr>
    </w:tbl>
    <w:p>
      <w:pPr>
        <w:pStyle w:val="TextBody"/>
        <w:bidi w:val="0"/>
        <w:spacing w:before="0" w:after="0"/>
        <w:ind w:left="0" w:right="0" w:firstLine="36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05"/>
        <w:gridCol w:w="200"/>
        <w:gridCol w:w="276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765" w:type="dxa"/>
            <w:tcBorders/>
            <w:vAlign w:val="center"/>
          </w:tcPr>
          <w:p>
            <w:pPr>
              <w:pStyle w:val="TableContents"/>
              <w:bidi w:val="0"/>
              <w:spacing w:before="0" w:after="283"/>
              <w:jc w:val="both"/>
              <w:rPr/>
            </w:pPr>
            <w:r>
              <w:rPr/>
              <w:t xml:space="preserve">the leverage available to us.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also consider the fact that sales of shares of common stock at a discount will benefit our investment adviser as the investment adviser will earn additional investment management fees on the proceeds of such offerings, as it would from the offering of any other of our securities or from the offering of common stock at a premium to NAV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Sales by us of our common stock at a discount from NAV per share pose potential risks for our existing stockholders whether or not they participate in the offering, as well as for new investors who participate in the offering. Any sale of common stock at a price below NAV per share would result in an immediate dilution to existing common stockholders who do not participate in such sale on at least a pro-rata basis. See “Risk Factors—Risks Relating to Our Common Stock—Stockholders may incur dilution if we sell shares of our common stock in one or more offerings at prices below the then current NAV per share of our common stock” in Part I, Item 1A of our most recent Annual Report on </w:t>
      </w:r>
      <w:hyperlink r:id="rId34">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three headings and accompanying tables explain and provide hypothetical examples on the impact of an offering of our common stock at a price less than NAV per share on three different types of investors:</w:t>
      </w:r>
    </w:p>
    <w:p>
      <w:pPr>
        <w:pStyle w:val="TextBody"/>
        <w:bidi w:val="0"/>
        <w:spacing w:before="0" w:after="0"/>
        <w:ind w:left="0" w:right="0" w:firstLine="36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05"/>
        <w:gridCol w:w="200"/>
        <w:gridCol w:w="66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680" w:type="dxa"/>
            <w:tcBorders/>
            <w:vAlign w:val="center"/>
          </w:tcPr>
          <w:p>
            <w:pPr>
              <w:pStyle w:val="TableContents"/>
              <w:bidi w:val="0"/>
              <w:spacing w:before="0" w:after="283"/>
              <w:jc w:val="both"/>
              <w:rPr/>
            </w:pPr>
            <w:r>
              <w:rPr/>
              <w:t xml:space="preserve">existing stockholders who do not purchase any shares in the offering;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 xml:space="preserve">existing stockholders who purchase a relatively small amount of shares in the offering or a relatively large amount of shares in the offering; and </w:t>
            </w:r>
          </w:p>
        </w:tc>
      </w:tr>
    </w:tbl>
    <w:p>
      <w:pPr>
        <w:pStyle w:val="TextBody"/>
        <w:bidi w:val="0"/>
        <w:spacing w:before="0" w:after="0"/>
        <w:ind w:left="0" w:right="0" w:firstLine="36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05"/>
        <w:gridCol w:w="200"/>
        <w:gridCol w:w="741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left"/>
              <w:rPr/>
            </w:pPr>
            <w:r>
              <w:rPr/>
              <w:t>new investors who become stockholders by purchasing shares in the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Impact On Existing Stockholders Who Do Not Participate in the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stockholders who do not participate in an offering below NAV per share or who do not buy additional shares in the secondary market at the same or lower price as we obtain in the offering (after expenses and commissions) face the greatest potential risks. These stockholders will experience an immediate dilution in the NAV of the shares of common stock they hold and their NAV per share. These stockholders will also experience a disproportionately greater decrease in their participation in our earnings and assets and in their voting power than the increase we will experience in our assets, potential earning power and voting interests due to such offering. These stockholders may also experience a decline in the market price of their shares, which often reflects to some degree announced or potential increases and decreases in NAV per share. This decrease could be more pronounced as the size of the offering and level of discounts increases. Further, if current stockholders do not purchase any shares to maintain their percentage interest, regardless of whether such offering is above or below the then current NAV, their voting power will be diluted.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level of NAV dilution that would be experienced by a nonparticipating stockholder in three different hypothetical offerings of different sizes and levels of discount from NAV per share, although it is not possible to predict the level of market price decline that may occur. Actual sales prices and discounts may differ from the presentation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examples assume that Company XYZ has 5,500,000 shares of common stock outstanding, $273,000,000 in total assets and $150,000,000 in total liabilities. The current NAV and NAV per share are thus $123,000,000 and $22.36. The table illustrates the dilutive effect on nonparticipating Stockholder A of (1) the issuance of 550,000 shares (10% of the outstanding shares) at an offering price of $20.12 per share to investors (a 10% discount from NAV); (2) the issuance of 1,100,000 shares (20% of the outstanding shares) at an offering price of $19.01 per share to investors (a 15% discount from NAV); (3) the issuance of 2,200,000 shares (40% of the outstanding shares) at an offering price of $19.01 per share to investors (a 15% discount from NAV); and (4) the issuance of 5,500,000 (100% of the outstanding shares) at an offering price of $19.01 per share to investors (a 15% discount from NAV).</w:t>
      </w:r>
    </w:p>
    <w:p>
      <w:pPr>
        <w:pStyle w:val="TextBody"/>
        <w:bidi w:val="0"/>
        <w:spacing w:before="0" w:after="0"/>
        <w:ind w:left="0" w:right="0" w:firstLine="360"/>
        <w:jc w:val="both"/>
        <w:rPr>
          <w:caps w:val="false"/>
          <w:smallCaps w:val="false"/>
        </w:rPr>
      </w:pPr>
      <w:r>
        <w:rPr>
          <w:caps w:val="false"/>
          <w:smallCaps w:val="false"/>
        </w:rPr>
        <w:t> </w:t>
      </w:r>
    </w:p>
    <w:tbl>
      <w:tblPr>
        <w:tblW w:w="13995" w:type="dxa"/>
        <w:jc w:val="left"/>
        <w:tblInd w:w="0" w:type="dxa"/>
        <w:tblLayout w:type="fixed"/>
        <w:tblCellMar>
          <w:top w:w="0" w:type="dxa"/>
          <w:left w:w="0" w:type="dxa"/>
          <w:bottom w:w="0" w:type="dxa"/>
          <w:right w:w="0" w:type="dxa"/>
        </w:tblCellMar>
      </w:tblPr>
      <w:tblGrid>
        <w:gridCol w:w="1460"/>
        <w:gridCol w:w="90"/>
        <w:gridCol w:w="170"/>
        <w:gridCol w:w="1010"/>
        <w:gridCol w:w="245"/>
        <w:gridCol w:w="90"/>
        <w:gridCol w:w="170"/>
        <w:gridCol w:w="1010"/>
        <w:gridCol w:w="245"/>
        <w:gridCol w:w="90"/>
        <w:gridCol w:w="111"/>
        <w:gridCol w:w="730"/>
        <w:gridCol w:w="304"/>
        <w:gridCol w:w="90"/>
        <w:gridCol w:w="170"/>
        <w:gridCol w:w="1010"/>
        <w:gridCol w:w="245"/>
        <w:gridCol w:w="90"/>
        <w:gridCol w:w="103"/>
        <w:gridCol w:w="761"/>
        <w:gridCol w:w="281"/>
        <w:gridCol w:w="90"/>
        <w:gridCol w:w="170"/>
        <w:gridCol w:w="1010"/>
        <w:gridCol w:w="245"/>
        <w:gridCol w:w="90"/>
        <w:gridCol w:w="103"/>
        <w:gridCol w:w="761"/>
        <w:gridCol w:w="281"/>
        <w:gridCol w:w="90"/>
        <w:gridCol w:w="170"/>
        <w:gridCol w:w="1130"/>
        <w:gridCol w:w="245"/>
        <w:gridCol w:w="90"/>
        <w:gridCol w:w="90"/>
        <w:gridCol w:w="665"/>
        <w:gridCol w:w="290"/>
      </w:tblGrid>
      <w:tr>
        <w:trPr/>
        <w:tc>
          <w:tcPr>
            <w:tcW w:w="14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center"/>
              <w:rPr>
                <w:b/>
              </w:rPr>
            </w:pPr>
            <w:r>
              <w:rPr>
                <w:b/>
              </w:rPr>
              <w:t>Prior to</w:t>
            </w:r>
          </w:p>
        </w:tc>
        <w:tc>
          <w:tcPr>
            <w:tcW w:w="90" w:type="dxa"/>
            <w:tcBorders/>
            <w:vAlign w:val="center"/>
          </w:tcPr>
          <w:p>
            <w:pPr>
              <w:pStyle w:val="TableContents"/>
              <w:bidi w:val="0"/>
              <w:spacing w:before="0" w:after="283"/>
              <w:jc w:val="left"/>
              <w:rPr/>
            </w:pPr>
            <w:r>
              <w:rPr/>
              <w:t> </w:t>
            </w:r>
          </w:p>
        </w:tc>
        <w:tc>
          <w:tcPr>
            <w:tcW w:w="26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Example 1</w:t>
              <w:br/>
              <w:t>10% Offering</w:t>
              <w:br/>
              <w:t>at 10% Discount</w:t>
            </w:r>
          </w:p>
        </w:tc>
        <w:tc>
          <w:tcPr>
            <w:tcW w:w="90" w:type="dxa"/>
            <w:tcBorders/>
            <w:vAlign w:val="center"/>
          </w:tcPr>
          <w:p>
            <w:pPr>
              <w:pStyle w:val="TableContents"/>
              <w:bidi w:val="0"/>
              <w:spacing w:before="0" w:after="283"/>
              <w:jc w:val="left"/>
              <w:rPr/>
            </w:pPr>
            <w:r>
              <w:rPr/>
              <w:t> </w:t>
            </w:r>
          </w:p>
        </w:tc>
        <w:tc>
          <w:tcPr>
            <w:tcW w:w="26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Example 2</w:t>
              <w:br/>
              <w:t>20% Offering</w:t>
              <w:br/>
              <w:t>at 15% Discount</w:t>
            </w:r>
          </w:p>
        </w:tc>
        <w:tc>
          <w:tcPr>
            <w:tcW w:w="90" w:type="dxa"/>
            <w:tcBorders/>
            <w:vAlign w:val="center"/>
          </w:tcPr>
          <w:p>
            <w:pPr>
              <w:pStyle w:val="TableContents"/>
              <w:bidi w:val="0"/>
              <w:spacing w:before="0" w:after="283"/>
              <w:jc w:val="left"/>
              <w:rPr/>
            </w:pPr>
            <w:r>
              <w:rPr/>
              <w:t> </w:t>
            </w:r>
          </w:p>
        </w:tc>
        <w:tc>
          <w:tcPr>
            <w:tcW w:w="266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Example 3</w:t>
              <w:br/>
              <w:t>40% Offering</w:t>
              <w:br/>
              <w:t>at 15% Discount</w:t>
            </w:r>
          </w:p>
        </w:tc>
        <w:tc>
          <w:tcPr>
            <w:tcW w:w="90" w:type="dxa"/>
            <w:tcBorders/>
            <w:vAlign w:val="center"/>
          </w:tcPr>
          <w:p>
            <w:pPr>
              <w:pStyle w:val="TableContents"/>
              <w:bidi w:val="0"/>
              <w:spacing w:before="0" w:after="283"/>
              <w:jc w:val="left"/>
              <w:rPr/>
            </w:pPr>
            <w:r>
              <w:rPr/>
              <w:t> </w:t>
            </w:r>
          </w:p>
        </w:tc>
        <w:tc>
          <w:tcPr>
            <w:tcW w:w="2680" w:type="dxa"/>
            <w:gridSpan w:val="7"/>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Example 4</w:t>
              <w:br/>
              <w:t>100% Offering</w:t>
              <w:br/>
              <w:t>at 15% Discount</w:t>
            </w:r>
          </w:p>
        </w:tc>
      </w:tr>
      <w:tr>
        <w:trPr/>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Sale Below</w:t>
              <w:br/>
              <w:t>NAV</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1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1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11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154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1045" w:type="dxa"/>
            <w:gridSpan w:val="3"/>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 Change</w:t>
            </w:r>
          </w:p>
        </w:tc>
      </w:tr>
      <w:tr>
        <w:trPr/>
        <w:tc>
          <w:tcPr>
            <w:tcW w:w="1460" w:type="dxa"/>
            <w:tcBorders/>
            <w:vAlign w:val="center"/>
          </w:tcPr>
          <w:p>
            <w:pPr>
              <w:pStyle w:val="TableContents"/>
              <w:bidi w:val="0"/>
              <w:spacing w:before="0" w:after="283"/>
              <w:jc w:val="left"/>
              <w:rPr>
                <w:b/>
                <w:i/>
              </w:rPr>
            </w:pPr>
            <w:r>
              <w:rPr>
                <w:b/>
                <w:i/>
              </w:rPr>
              <w:t>Offering Price</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14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545" w:type="dxa"/>
            <w:gridSpan w:val="3"/>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45" w:type="dxa"/>
            <w:gridSpan w:val="3"/>
            <w:tcBorders/>
            <w:vAlign w:val="center"/>
          </w:tcPr>
          <w:p>
            <w:pPr>
              <w:pStyle w:val="TableContents"/>
              <w:bidi w:val="0"/>
              <w:spacing w:before="0" w:after="283"/>
              <w:ind w:left="0" w:right="0" w:hanging="180"/>
              <w:jc w:val="right"/>
              <w:rPr/>
            </w:pPr>
            <w:r>
              <w:rPr/>
              <w:t> </w:t>
            </w:r>
          </w:p>
        </w:tc>
      </w:tr>
      <w:tr>
        <w:trPr/>
        <w:tc>
          <w:tcPr>
            <w:tcW w:w="1460" w:type="dxa"/>
            <w:tcBorders/>
            <w:shd w:fill="CCEEFF" w:val="clear"/>
            <w:vAlign w:val="center"/>
          </w:tcPr>
          <w:p>
            <w:pPr>
              <w:pStyle w:val="TableContents"/>
              <w:bidi w:val="0"/>
              <w:spacing w:before="0" w:after="283"/>
              <w:jc w:val="left"/>
              <w:rPr/>
            </w:pPr>
            <w:r>
              <w:rPr/>
              <w:t>Price per Share to Public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20.12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Net Proceeds per Share to Issuer(1)</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18.71</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30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i/>
              </w:rPr>
            </w:pPr>
            <w:r>
              <w:rPr>
                <w:b/>
                <w:i/>
              </w:rPr>
              <w:t>Decrease to NAV</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Total Shares Outstanding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5,500,000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6,050,000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10.00</w:t>
            </w:r>
          </w:p>
        </w:tc>
        <w:tc>
          <w:tcPr>
            <w:tcW w:w="304"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6,600,000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20.00</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7,700,000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40.00</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11,000,000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100</w:t>
            </w:r>
          </w:p>
        </w:tc>
        <w:tc>
          <w:tcPr>
            <w:tcW w:w="29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NAV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-1.48</w:t>
            </w:r>
          </w:p>
        </w:tc>
        <w:tc>
          <w:tcPr>
            <w:tcW w:w="30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-3.49</w:t>
            </w:r>
          </w:p>
        </w:tc>
        <w:tc>
          <w:tcPr>
            <w:tcW w:w="281"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-5.97</w:t>
            </w:r>
          </w:p>
        </w:tc>
        <w:tc>
          <w:tcPr>
            <w:tcW w:w="281"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-10.46</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60" w:type="dxa"/>
            <w:tcBorders/>
            <w:shd w:fill="FFFFFF" w:val="clear"/>
            <w:vAlign w:val="center"/>
          </w:tcPr>
          <w:p>
            <w:pPr>
              <w:pStyle w:val="TableContents"/>
              <w:bidi w:val="0"/>
              <w:spacing w:before="0" w:after="283"/>
              <w:jc w:val="left"/>
              <w:rPr>
                <w:b/>
                <w:i/>
              </w:rPr>
            </w:pPr>
            <w:r>
              <w:rPr>
                <w:b/>
                <w:i/>
              </w:rPr>
              <w:t>Dilution to Stockholder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 </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Shares Held by Stockholder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Percentage Held by Stockholder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0.20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0.18</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-9.09</w:t>
            </w:r>
          </w:p>
        </w:tc>
        <w:tc>
          <w:tcPr>
            <w:tcW w:w="304"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0.17</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-16.67</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0.14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-28.57</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0.10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-50.00</w:t>
            </w:r>
          </w:p>
        </w:tc>
        <w:tc>
          <w:tcPr>
            <w:tcW w:w="29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b/>
                <w:i/>
              </w:rPr>
            </w:pPr>
            <w:r>
              <w:rPr>
                <w:b/>
                <w:i/>
              </w:rPr>
              <w:t>Total Asset Values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Total NAV Held by Stockholder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245,960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242,320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-1.48</w:t>
            </w:r>
          </w:p>
        </w:tc>
        <w:tc>
          <w:tcPr>
            <w:tcW w:w="304"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237,376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-3.49</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231,276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-5.97</w:t>
            </w:r>
          </w:p>
        </w:tc>
        <w:tc>
          <w:tcPr>
            <w:tcW w:w="281"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220,233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-10.46</w:t>
            </w:r>
          </w:p>
        </w:tc>
        <w:tc>
          <w:tcPr>
            <w:tcW w:w="290" w:type="dxa"/>
            <w:tcBorders/>
            <w:shd w:fill="FFFFFF" w:val="clear"/>
            <w:vAlign w:val="center"/>
          </w:tcPr>
          <w:p>
            <w:pPr>
              <w:pStyle w:val="TableContents"/>
              <w:bidi w:val="0"/>
              <w:spacing w:before="0" w:after="283"/>
              <w:ind w:left="0" w:right="0" w:hanging="180"/>
              <w:jc w:val="left"/>
              <w:rPr/>
            </w:pPr>
            <w:r>
              <w:rPr/>
              <w:t>%</w:t>
            </w:r>
          </w:p>
        </w:tc>
      </w:tr>
      <w:tr>
        <w:trPr/>
        <w:tc>
          <w:tcPr>
            <w:tcW w:w="1460" w:type="dxa"/>
            <w:tcBorders/>
            <w:shd w:fill="CCEEFF" w:val="clear"/>
            <w:vAlign w:val="center"/>
          </w:tcPr>
          <w:p>
            <w:pPr>
              <w:pStyle w:val="TableContents"/>
              <w:bidi w:val="0"/>
              <w:spacing w:before="0" w:after="283"/>
              <w:jc w:val="left"/>
              <w:rPr/>
            </w:pPr>
            <w:r>
              <w:rPr/>
              <w:t>Total Investment by Stockholder A (Assumed to be $22.36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245,960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Total Dilution to Stockholder A (Total NAV Less Total Investment)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-3,640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30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-8,584</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-14,684</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-25,727</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b/>
                <w:i/>
              </w:rPr>
            </w:pPr>
            <w:r>
              <w:rPr>
                <w:b/>
                <w:i/>
              </w:rPr>
              <w:t>Per Share Amounts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NAV per Share Held by Stockholder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22.03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30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21.58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21.03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20.02</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Investment per Share Held by Stockholder A (Assumed to be $22.36 per Share on Shares Held Prior to Sale)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3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w:t>
            </w:r>
          </w:p>
        </w:tc>
        <w:tc>
          <w:tcPr>
            <w:tcW w:w="28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1460" w:type="dxa"/>
            <w:tcBorders/>
            <w:shd w:fill="FFFFFF" w:val="clear"/>
            <w:vAlign w:val="center"/>
          </w:tcPr>
          <w:p>
            <w:pPr>
              <w:pStyle w:val="TableContents"/>
              <w:bidi w:val="0"/>
              <w:spacing w:before="0" w:after="283"/>
              <w:jc w:val="left"/>
              <w:rPr/>
            </w:pPr>
            <w:r>
              <w:rPr/>
              <w:t>Dilution per Share Held by Stockholder A (NAV per Share Less Investment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-0.33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30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-0.78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-1.33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pPr>
            <w:r>
              <w:rPr/>
              <w:t>—</w:t>
            </w:r>
          </w:p>
        </w:tc>
        <w:tc>
          <w:tcPr>
            <w:tcW w:w="281"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-2.34</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80"/>
              <w:jc w:val="left"/>
              <w:rPr/>
            </w:pPr>
            <w:r>
              <w:rPr/>
              <w:t> </w:t>
            </w:r>
          </w:p>
        </w:tc>
      </w:tr>
      <w:tr>
        <w:trPr/>
        <w:tc>
          <w:tcPr>
            <w:tcW w:w="1460" w:type="dxa"/>
            <w:tcBorders/>
            <w:shd w:fill="CCEEFF" w:val="clear"/>
            <w:vAlign w:val="center"/>
          </w:tcPr>
          <w:p>
            <w:pPr>
              <w:pStyle w:val="TableContents"/>
              <w:bidi w:val="0"/>
              <w:spacing w:before="0" w:after="283"/>
              <w:jc w:val="left"/>
              <w:rPr/>
            </w:pPr>
            <w:r>
              <w:rPr/>
              <w:t>Percentage Dilution to Stockholder A (Dilution per Share Divided by Investment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-1.5</w:t>
            </w:r>
          </w:p>
        </w:tc>
        <w:tc>
          <w:tcPr>
            <w:tcW w:w="304"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-3.5</w:t>
            </w:r>
          </w:p>
        </w:tc>
        <w:tc>
          <w:tcPr>
            <w:tcW w:w="281"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-6.0</w:t>
            </w:r>
          </w:p>
        </w:tc>
        <w:tc>
          <w:tcPr>
            <w:tcW w:w="281"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-10.50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68"/>
        <w:gridCol w:w="320"/>
        <w:gridCol w:w="30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w:t>
            </w:r>
          </w:p>
        </w:tc>
        <w:tc>
          <w:tcPr>
            <w:tcW w:w="3095" w:type="dxa"/>
            <w:tcBorders/>
            <w:vAlign w:val="center"/>
          </w:tcPr>
          <w:p>
            <w:pPr>
              <w:pStyle w:val="TableContents"/>
              <w:bidi w:val="0"/>
              <w:spacing w:before="0" w:after="283"/>
              <w:jc w:val="both"/>
              <w:rPr/>
            </w:pPr>
            <w:r>
              <w:rPr/>
              <w:t>Assumes 7% issuance discount.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Impact on Existing Stockholders Who Do Participate in the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to such stockholders will decrease as the number of shares such stockholders purchase increases. Existing stockholders who buy more than their proportionate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stockholder increases. Even a stockholder who over-participates will, however, be subject to the risk that we may make additional discounted offerings in which such stockholder does not participate, in which case such a stockholder will experience NAV dilution as described above in any subsequent offerings. These stockholders may also experience a decline in the market price of their shares, which often reflects to some degree announced or potential decreases in NAV per share. This decrease could be more pronounced as the size of the offering and the level of discount to NAV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and accretion in the hypothetical 20% offering at a 15% discount from the prior chart (Example 3) for a stockholder that acquires shares equal to (1) 50% of its proportionate share of the offering (i.e., 1,100) shares, which is 0.1% of an offering of 1,100,000 shares rather than its 0.2% proportionate share) and (2) 150% of such percentage (i.e., 3,300 shares, which is 0.3% of an offering of 1,100,000 shares rather than its 0.2% proportionate share). The prospectus supplement pursuant to which any discounted offering is made will include a chart for this example based on the actual number of shares in such offering and the actual discount from the most recently determined NAV per share.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5"/>
        <w:gridCol w:w="90"/>
        <w:gridCol w:w="170"/>
        <w:gridCol w:w="1010"/>
        <w:gridCol w:w="245"/>
        <w:gridCol w:w="90"/>
        <w:gridCol w:w="170"/>
        <w:gridCol w:w="1010"/>
        <w:gridCol w:w="245"/>
        <w:gridCol w:w="90"/>
        <w:gridCol w:w="162"/>
        <w:gridCol w:w="983"/>
        <w:gridCol w:w="245"/>
        <w:gridCol w:w="90"/>
        <w:gridCol w:w="170"/>
        <w:gridCol w:w="1010"/>
        <w:gridCol w:w="245"/>
        <w:gridCol w:w="90"/>
        <w:gridCol w:w="151"/>
        <w:gridCol w:w="994"/>
        <w:gridCol w:w="290"/>
      </w:tblGrid>
      <w:tr>
        <w:trPr/>
        <w:tc>
          <w:tcPr>
            <w:tcW w:w="2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290" w:type="dxa"/>
            <w:tcBorders/>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 Below</w:t>
              <w:br/>
              <w:t>NAV</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2655" w:type="dxa"/>
            <w:tcBorders/>
            <w:vAlign w:val="center"/>
          </w:tcPr>
          <w:p>
            <w:pPr>
              <w:pStyle w:val="TableContents"/>
              <w:bidi w:val="0"/>
              <w:spacing w:before="0" w:after="283"/>
              <w:jc w:val="left"/>
              <w:rPr>
                <w:b/>
                <w:i/>
              </w:rPr>
            </w:pPr>
            <w:r>
              <w:rPr>
                <w:b/>
                <w:i/>
              </w:rPr>
              <w:t>Offering Price</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160"/>
              <w:jc w:val="left"/>
              <w:rPr/>
            </w:pPr>
            <w:r>
              <w:rPr/>
              <w:t> </w:t>
            </w:r>
          </w:p>
        </w:tc>
      </w:tr>
      <w:tr>
        <w:trPr/>
        <w:tc>
          <w:tcPr>
            <w:tcW w:w="2655" w:type="dxa"/>
            <w:tcBorders/>
            <w:shd w:fill="CCEEFF" w:val="clear"/>
            <w:vAlign w:val="center"/>
          </w:tcPr>
          <w:p>
            <w:pPr>
              <w:pStyle w:val="TableContents"/>
              <w:bidi w:val="0"/>
              <w:spacing w:before="0" w:after="283"/>
              <w:jc w:val="left"/>
              <w:rPr/>
            </w:pPr>
            <w:r>
              <w:rPr/>
              <w:t>Price per Share to Public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pPr>
            <w:r>
              <w:rPr/>
              <w:t>Net Proceeds per Share to Issuer(1)</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2655" w:type="dxa"/>
            <w:tcBorders/>
            <w:shd w:fill="CCEEFF" w:val="clear"/>
            <w:vAlign w:val="center"/>
          </w:tcPr>
          <w:p>
            <w:pPr>
              <w:pStyle w:val="TableContents"/>
              <w:bidi w:val="0"/>
              <w:spacing w:before="0" w:after="283"/>
              <w:jc w:val="left"/>
              <w:rPr>
                <w:b/>
                <w:i/>
              </w:rPr>
            </w:pPr>
            <w:r>
              <w:rPr>
                <w:b/>
                <w:i/>
              </w:rPr>
              <w:t>Increase in Shares and Decrease to NAV</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0"/>
              <w:jc w:val="left"/>
              <w:rPr/>
            </w:pPr>
            <w:r>
              <w:rPr/>
              <w:t> </w:t>
            </w:r>
          </w:p>
        </w:tc>
      </w:tr>
      <w:tr>
        <w:trPr/>
        <w:tc>
          <w:tcPr>
            <w:tcW w:w="2655" w:type="dxa"/>
            <w:tcBorders/>
            <w:shd w:fill="FFFFFF" w:val="clear"/>
            <w:vAlign w:val="center"/>
          </w:tcPr>
          <w:p>
            <w:pPr>
              <w:pStyle w:val="TableContents"/>
              <w:bidi w:val="0"/>
              <w:spacing w:before="0" w:after="283"/>
              <w:jc w:val="left"/>
              <w:rPr/>
            </w:pPr>
            <w:r>
              <w:rPr/>
              <w:t>Total Shares Outstanding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5,500,000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6,600,000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6,600,000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20</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2655" w:type="dxa"/>
            <w:tcBorders/>
            <w:shd w:fill="CCEEFF" w:val="clear"/>
            <w:vAlign w:val="center"/>
          </w:tcPr>
          <w:p>
            <w:pPr>
              <w:pStyle w:val="TableContents"/>
              <w:bidi w:val="0"/>
              <w:spacing w:before="0" w:after="283"/>
              <w:jc w:val="left"/>
              <w:rPr/>
            </w:pPr>
            <w:r>
              <w:rPr/>
              <w:t>NAV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-3.49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-3.49</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b/>
                <w:i/>
              </w:rPr>
            </w:pPr>
            <w:r>
              <w:rPr>
                <w:b/>
                <w:i/>
              </w:rPr>
              <w:t>Dilution/Accretion to Participating Stockholder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2655" w:type="dxa"/>
            <w:tcBorders/>
            <w:shd w:fill="CCEEFF" w:val="clear"/>
            <w:vAlign w:val="center"/>
          </w:tcPr>
          <w:p>
            <w:pPr>
              <w:pStyle w:val="TableContents"/>
              <w:bidi w:val="0"/>
              <w:spacing w:before="0" w:after="283"/>
              <w:jc w:val="left"/>
              <w:rPr>
                <w:b/>
              </w:rPr>
            </w:pPr>
            <w:r>
              <w:rPr>
                <w:b/>
              </w:rPr>
              <w:t>Share Dilution/Accretion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0"/>
              <w:jc w:val="left"/>
              <w:rPr/>
            </w:pPr>
            <w:r>
              <w:rPr/>
              <w:t> </w:t>
            </w:r>
          </w:p>
        </w:tc>
      </w:tr>
      <w:tr>
        <w:trPr/>
        <w:tc>
          <w:tcPr>
            <w:tcW w:w="2655" w:type="dxa"/>
            <w:tcBorders/>
            <w:shd w:fill="FFFFFF" w:val="clear"/>
            <w:vAlign w:val="center"/>
          </w:tcPr>
          <w:p>
            <w:pPr>
              <w:pStyle w:val="TableContents"/>
              <w:bidi w:val="0"/>
              <w:spacing w:before="0" w:after="283"/>
              <w:jc w:val="left"/>
              <w:rPr/>
            </w:pPr>
            <w:r>
              <w:rPr/>
              <w:t>Shares Held by Stockholder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12,100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10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14,300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30</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2655" w:type="dxa"/>
            <w:tcBorders/>
            <w:shd w:fill="CCEEFF" w:val="clear"/>
            <w:vAlign w:val="center"/>
          </w:tcPr>
          <w:p>
            <w:pPr>
              <w:pStyle w:val="TableContents"/>
              <w:bidi w:val="0"/>
              <w:spacing w:before="0" w:after="283"/>
              <w:jc w:val="left"/>
              <w:rPr/>
            </w:pPr>
            <w:r>
              <w:rPr/>
              <w:t>Percentage Outstanding Held by Stockholder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0.18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-8.33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0.21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8.33</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b/>
              </w:rPr>
            </w:pPr>
            <w:r>
              <w:rPr>
                <w:b/>
              </w:rPr>
              <w:t>NAV Dilution/Accretion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2655" w:type="dxa"/>
            <w:tcBorders/>
            <w:shd w:fill="CCEEFF" w:val="clear"/>
            <w:vAlign w:val="center"/>
          </w:tcPr>
          <w:p>
            <w:pPr>
              <w:pStyle w:val="TableContents"/>
              <w:bidi w:val="0"/>
              <w:spacing w:before="0" w:after="283"/>
              <w:jc w:val="left"/>
              <w:rPr/>
            </w:pPr>
            <w:r>
              <w:rPr/>
              <w:t>Total NAV Held by Stockholder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245,960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261,118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6.16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308,594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25.47</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pPr>
            <w:r>
              <w:rPr/>
              <w:t>Total Investment by Stockholder A (Assumed to be $22.36 per Share on Shares Held Prior to Sale)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265,408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304,304</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2655" w:type="dxa"/>
            <w:tcBorders/>
            <w:shd w:fill="CCEEFF" w:val="clear"/>
            <w:vAlign w:val="center"/>
          </w:tcPr>
          <w:p>
            <w:pPr>
              <w:pStyle w:val="TableContents"/>
              <w:bidi w:val="0"/>
              <w:spacing w:before="0" w:after="283"/>
              <w:jc w:val="left"/>
              <w:rPr/>
            </w:pPr>
            <w:r>
              <w:rPr/>
              <w:t>Total Dilution/Accretion to Stockholder A (Total NAV Less Total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-4,290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-1.64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4,290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b/>
              </w:rPr>
            </w:pPr>
            <w:r>
              <w:rPr>
                <w:b/>
              </w:rPr>
              <w:t>NAV Dilution/Accretion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2655" w:type="dxa"/>
            <w:tcBorders/>
            <w:shd w:fill="CCEEFF" w:val="clear"/>
            <w:vAlign w:val="center"/>
          </w:tcPr>
          <w:p>
            <w:pPr>
              <w:pStyle w:val="TableContents"/>
              <w:bidi w:val="0"/>
              <w:spacing w:before="0" w:after="283"/>
              <w:jc w:val="left"/>
              <w:rPr/>
            </w:pPr>
            <w:r>
              <w:rPr/>
              <w:t>NAV per Share Held by Stockholder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-3.49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-3.49</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pPr>
            <w:r>
              <w:rPr/>
              <w:t>Investment per Share Held by Stockholder A (Assumed to be $22.36 per Share on Shares Held Prior to Sale)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21.93</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21.28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2655" w:type="dxa"/>
            <w:tcBorders/>
            <w:shd w:fill="CCEEFF" w:val="clear"/>
            <w:vAlign w:val="center"/>
          </w:tcPr>
          <w:p>
            <w:pPr>
              <w:pStyle w:val="TableContents"/>
              <w:bidi w:val="0"/>
              <w:spacing w:before="0" w:after="283"/>
              <w:jc w:val="left"/>
              <w:rPr/>
            </w:pPr>
            <w:r>
              <w:rPr/>
              <w:t>NAV Dilution/Accretion per Share Experienced by Stockholder A (NAV per Share Less Investment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-0.35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0.30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2655" w:type="dxa"/>
            <w:tcBorders/>
            <w:shd w:fill="FFFFFF" w:val="clear"/>
            <w:vAlign w:val="center"/>
          </w:tcPr>
          <w:p>
            <w:pPr>
              <w:pStyle w:val="TableContents"/>
              <w:bidi w:val="0"/>
              <w:spacing w:before="0" w:after="283"/>
              <w:jc w:val="left"/>
              <w:rPr/>
            </w:pPr>
            <w:r>
              <w:rPr/>
              <w:t>Percentage NAV Dilution/Accretion Experienced by Stockholder A (NAV Dilution/Accretion per Share Divided by Investment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-1.60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1.41</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35"/>
        <w:gridCol w:w="3155"/>
      </w:tblGrid>
      <w:tr>
        <w:trPr/>
        <w:tc>
          <w:tcPr>
            <w:tcW w:w="335" w:type="dxa"/>
            <w:tcBorders/>
            <w:vAlign w:val="center"/>
          </w:tcPr>
          <w:p>
            <w:pPr>
              <w:pStyle w:val="TableContents"/>
              <w:bidi w:val="0"/>
              <w:spacing w:before="0" w:after="283"/>
              <w:jc w:val="left"/>
              <w:rPr/>
            </w:pPr>
            <w:r>
              <w:rPr/>
              <w:t>(1)</w:t>
            </w:r>
          </w:p>
        </w:tc>
        <w:tc>
          <w:tcPr>
            <w:tcW w:w="3155" w:type="dxa"/>
            <w:tcBorders/>
            <w:vAlign w:val="center"/>
          </w:tcPr>
          <w:p>
            <w:pPr>
              <w:pStyle w:val="TableContents"/>
              <w:bidi w:val="0"/>
              <w:spacing w:before="0" w:after="283"/>
              <w:jc w:val="left"/>
              <w:rPr/>
            </w:pPr>
            <w:r>
              <w:rPr/>
              <w:t xml:space="preserve">Assumes 7% issuance discount.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Impact on New Investors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(Example 1 below). On the other hand, investors who are not currently stockholders, but who participate in an offering below NAV per share and whose investment per share is also less than the resulting NAV per share will experience an immediate increase in the NAV of their shares and their NAV per share compared to the price they pay for their shares (Examples 2 and 3 below). These latter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any subsequent offerings. These investors may also experience a decline in the market price of their shares, which often reflects to some degree announced or potential decreases in NAV per share. This decrease could be more pronounced as the size of the offering and level of discount to NAV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(0.20%)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w:t>
      </w:r>
    </w:p>
    <w:p>
      <w:pPr>
        <w:pStyle w:val="TextBody"/>
        <w:bidi w:val="0"/>
        <w:spacing w:before="0" w:after="0"/>
        <w:ind w:left="0" w:right="0" w:firstLine="360"/>
        <w:jc w:val="both"/>
        <w:rPr>
          <w:caps w:val="false"/>
          <w:smallCaps w:val="false"/>
        </w:rPr>
      </w:pPr>
      <w:r>
        <w:rPr>
          <w:caps w:val="false"/>
          <w:smallCaps w:val="false"/>
        </w:rPr>
        <w:t> </w:t>
      </w:r>
    </w:p>
    <w:tbl>
      <w:tblPr>
        <w:tblW w:w="14600" w:type="dxa"/>
        <w:jc w:val="left"/>
        <w:tblInd w:w="0" w:type="dxa"/>
        <w:tblLayout w:type="fixed"/>
        <w:tblCellMar>
          <w:top w:w="0" w:type="dxa"/>
          <w:left w:w="0" w:type="dxa"/>
          <w:bottom w:w="0" w:type="dxa"/>
          <w:right w:w="0" w:type="dxa"/>
        </w:tblCellMar>
      </w:tblPr>
      <w:tblGrid>
        <w:gridCol w:w="1250"/>
        <w:gridCol w:w="90"/>
        <w:gridCol w:w="170"/>
        <w:gridCol w:w="1010"/>
        <w:gridCol w:w="245"/>
        <w:gridCol w:w="90"/>
        <w:gridCol w:w="170"/>
        <w:gridCol w:w="1010"/>
        <w:gridCol w:w="245"/>
        <w:gridCol w:w="90"/>
        <w:gridCol w:w="151"/>
        <w:gridCol w:w="994"/>
        <w:gridCol w:w="245"/>
        <w:gridCol w:w="90"/>
        <w:gridCol w:w="170"/>
        <w:gridCol w:w="1010"/>
        <w:gridCol w:w="245"/>
        <w:gridCol w:w="90"/>
        <w:gridCol w:w="151"/>
        <w:gridCol w:w="994"/>
        <w:gridCol w:w="245"/>
        <w:gridCol w:w="90"/>
        <w:gridCol w:w="170"/>
        <w:gridCol w:w="1010"/>
        <w:gridCol w:w="90"/>
        <w:gridCol w:w="90"/>
        <w:gridCol w:w="151"/>
        <w:gridCol w:w="994"/>
        <w:gridCol w:w="245"/>
        <w:gridCol w:w="90"/>
        <w:gridCol w:w="170"/>
        <w:gridCol w:w="1130"/>
        <w:gridCol w:w="90"/>
        <w:gridCol w:w="90"/>
        <w:gridCol w:w="136"/>
        <w:gridCol w:w="1009"/>
        <w:gridCol w:w="290"/>
      </w:tblGrid>
      <w:tr>
        <w:trPr/>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Prior to</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br/>
              <w:t>10% Offering</w:t>
              <w:br/>
              <w:t>at 10% Discount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br/>
              <w:t>20% Offering</w:t>
              <w:br/>
              <w:t>at 15% Discount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br/>
              <w:t>40% Offering</w:t>
              <w:br/>
              <w:t>at 15% Discount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br/>
              <w:t>100% Offering</w:t>
              <w:br/>
              <w:t>at 15% Discount</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Sale Below</w:t>
              <w:br/>
              <w:t>NAV</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b/>
                <w:i/>
              </w:rPr>
            </w:pPr>
            <w:r>
              <w:rPr>
                <w:b/>
                <w:i/>
              </w:rPr>
              <w:t>Offering Price</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160"/>
              <w:jc w:val="left"/>
              <w:rPr/>
            </w:pPr>
            <w:r>
              <w:rPr/>
              <w:t> </w:t>
            </w:r>
          </w:p>
        </w:tc>
      </w:tr>
      <w:tr>
        <w:trPr/>
        <w:tc>
          <w:tcPr>
            <w:tcW w:w="1250" w:type="dxa"/>
            <w:tcBorders/>
            <w:shd w:fill="CCEEFF" w:val="clear"/>
            <w:vAlign w:val="center"/>
          </w:tcPr>
          <w:p>
            <w:pPr>
              <w:pStyle w:val="TableContents"/>
              <w:bidi w:val="0"/>
              <w:spacing w:before="0" w:after="283"/>
              <w:jc w:val="left"/>
              <w:rPr/>
            </w:pPr>
            <w:r>
              <w:rPr/>
              <w:t>Price per Share to Public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20.12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pPr>
            <w:r>
              <w:rPr/>
              <w:t>Net Proceeds per Share to Issuer</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18.71</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17.68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1250" w:type="dxa"/>
            <w:tcBorders/>
            <w:shd w:fill="CCEEFF" w:val="clear"/>
            <w:vAlign w:val="center"/>
          </w:tcPr>
          <w:p>
            <w:pPr>
              <w:pStyle w:val="TableContents"/>
              <w:bidi w:val="0"/>
              <w:spacing w:before="0" w:after="283"/>
              <w:jc w:val="left"/>
              <w:rPr>
                <w:b/>
                <w:i/>
              </w:rPr>
            </w:pPr>
            <w:r>
              <w:rPr>
                <w:b/>
                <w:i/>
              </w:rPr>
              <w:t>Increase in Shares and Decrease to NAV</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0"/>
              <w:jc w:val="left"/>
              <w:rPr/>
            </w:pPr>
            <w:r>
              <w:rPr/>
              <w:t> </w:t>
            </w:r>
          </w:p>
        </w:tc>
      </w:tr>
      <w:tr>
        <w:trPr/>
        <w:tc>
          <w:tcPr>
            <w:tcW w:w="1250" w:type="dxa"/>
            <w:tcBorders/>
            <w:shd w:fill="FFFFFF" w:val="clear"/>
            <w:vAlign w:val="center"/>
          </w:tcPr>
          <w:p>
            <w:pPr>
              <w:pStyle w:val="TableContents"/>
              <w:bidi w:val="0"/>
              <w:spacing w:before="0" w:after="283"/>
              <w:jc w:val="left"/>
              <w:rPr/>
            </w:pPr>
            <w:r>
              <w:rPr/>
              <w:t>Total Shares Outstanding</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5,500,000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6,050,000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6,600,000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7,700,000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40</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11,000,000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100</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1250" w:type="dxa"/>
            <w:tcBorders/>
            <w:shd w:fill="CCEEFF" w:val="clear"/>
            <w:vAlign w:val="center"/>
          </w:tcPr>
          <w:p>
            <w:pPr>
              <w:pStyle w:val="TableContents"/>
              <w:bidi w:val="0"/>
              <w:spacing w:before="0" w:after="283"/>
              <w:jc w:val="left"/>
              <w:rPr/>
            </w:pPr>
            <w:r>
              <w:rPr/>
              <w:t>NAV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22.36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-1.48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-3.49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-5.99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-10.48</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b/>
                <w:i/>
              </w:rPr>
            </w:pPr>
            <w:r>
              <w:rPr>
                <w:b/>
                <w:i/>
              </w:rPr>
              <w:t>Dilution/Accretion to New Investor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1250" w:type="dxa"/>
            <w:tcBorders/>
            <w:shd w:fill="CCEEFF" w:val="clear"/>
            <w:vAlign w:val="center"/>
          </w:tcPr>
          <w:p>
            <w:pPr>
              <w:pStyle w:val="TableContents"/>
              <w:bidi w:val="0"/>
              <w:spacing w:before="0" w:after="283"/>
              <w:jc w:val="left"/>
              <w:rPr>
                <w:b/>
              </w:rPr>
            </w:pPr>
            <w:r>
              <w:rPr>
                <w:b/>
              </w:rPr>
              <w:t>Share Dilution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60"/>
              <w:jc w:val="left"/>
              <w:rPr/>
            </w:pPr>
            <w:r>
              <w:rPr/>
              <w:t> </w:t>
            </w:r>
          </w:p>
        </w:tc>
      </w:tr>
      <w:tr>
        <w:trPr/>
        <w:tc>
          <w:tcPr>
            <w:tcW w:w="1250" w:type="dxa"/>
            <w:tcBorders/>
            <w:shd w:fill="FFFFFF" w:val="clear"/>
            <w:vAlign w:val="center"/>
          </w:tcPr>
          <w:p>
            <w:pPr>
              <w:pStyle w:val="TableContents"/>
              <w:bidi w:val="0"/>
              <w:spacing w:before="0" w:after="283"/>
              <w:jc w:val="left"/>
              <w:rPr/>
            </w:pPr>
            <w:r>
              <w:rPr/>
              <w:t>Shares held by Investor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2,200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4,400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1250" w:type="dxa"/>
            <w:tcBorders/>
            <w:shd w:fill="CCEEFF" w:val="clear"/>
            <w:vAlign w:val="center"/>
          </w:tcPr>
          <w:p>
            <w:pPr>
              <w:pStyle w:val="TableContents"/>
              <w:bidi w:val="0"/>
              <w:spacing w:before="0" w:after="283"/>
              <w:jc w:val="left"/>
              <w:rPr/>
            </w:pPr>
            <w:r>
              <w:rPr/>
              <w:t>Percentage Outstanding Held by Investor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0.02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b/>
              </w:rPr>
            </w:pPr>
            <w:r>
              <w:rPr>
                <w:b/>
              </w:rPr>
              <w:t>NAV Dilution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1250" w:type="dxa"/>
            <w:tcBorders/>
            <w:shd w:fill="CCEEFF" w:val="clear"/>
            <w:vAlign w:val="center"/>
          </w:tcPr>
          <w:p>
            <w:pPr>
              <w:pStyle w:val="TableContents"/>
              <w:bidi w:val="0"/>
              <w:spacing w:before="0" w:after="283"/>
              <w:jc w:val="left"/>
              <w:rPr/>
            </w:pPr>
            <w:r>
              <w:rPr/>
              <w:t>Total NAV Held by Investor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22,030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47,476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92,532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220,220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pPr>
            <w:r>
              <w:rPr/>
              <w:t>Total Investment by Investor A (At Price to Public)</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18,710</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38,896</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77,792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194,480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1250" w:type="dxa"/>
            <w:tcBorders/>
            <w:shd w:fill="CCEEFF" w:val="clear"/>
            <w:vAlign w:val="center"/>
          </w:tcPr>
          <w:p>
            <w:pPr>
              <w:pStyle w:val="TableContents"/>
              <w:bidi w:val="0"/>
              <w:spacing w:before="0" w:after="283"/>
              <w:jc w:val="left"/>
              <w:rPr/>
            </w:pPr>
            <w:r>
              <w:rPr/>
              <w:t>Total Dilution/Accretion to Investor A (Total NAV Less Total Investment)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3,720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17.74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8,580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22.06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18.95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25,740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13.24</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b/>
              </w:rPr>
            </w:pPr>
            <w:r>
              <w:rPr>
                <w:b/>
              </w:rPr>
              <w:t>NAV Dilution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hanging="160"/>
              <w:jc w:val="left"/>
              <w:rPr/>
            </w:pPr>
            <w:r>
              <w:rPr/>
              <w:t> </w:t>
            </w:r>
          </w:p>
        </w:tc>
      </w:tr>
      <w:tr>
        <w:trPr/>
        <w:tc>
          <w:tcPr>
            <w:tcW w:w="1250" w:type="dxa"/>
            <w:tcBorders/>
            <w:shd w:fill="CCEEFF" w:val="clear"/>
            <w:vAlign w:val="center"/>
          </w:tcPr>
          <w:p>
            <w:pPr>
              <w:pStyle w:val="TableContents"/>
              <w:bidi w:val="0"/>
              <w:spacing w:before="0" w:after="283"/>
              <w:jc w:val="left"/>
              <w:rPr/>
            </w:pPr>
            <w:r>
              <w:rPr/>
              <w:t>NAV per Share Held by Investor 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22.03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pPr>
            <w:r>
              <w:rPr/>
              <w:t>Investment per Share Held by Investor A</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18.71</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17.68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17.68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ind w:left="0" w:right="0" w:hanging="160"/>
              <w:jc w:val="left"/>
              <w:rPr/>
            </w:pPr>
            <w:r>
              <w:rPr/>
              <w:t>%</w:t>
            </w:r>
          </w:p>
        </w:tc>
      </w:tr>
      <w:tr>
        <w:trPr/>
        <w:tc>
          <w:tcPr>
            <w:tcW w:w="1250" w:type="dxa"/>
            <w:tcBorders/>
            <w:shd w:fill="CCEEFF" w:val="clear"/>
            <w:vAlign w:val="center"/>
          </w:tcPr>
          <w:p>
            <w:pPr>
              <w:pStyle w:val="TableContents"/>
              <w:bidi w:val="0"/>
              <w:spacing w:before="0" w:after="283"/>
              <w:jc w:val="left"/>
              <w:rPr/>
            </w:pPr>
            <w:r>
              <w:rPr/>
              <w:t>NAV Dilution/Accretion per Share Experienced by Investor A (NAV per Share Less Investment per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3.32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3.90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160"/>
              <w:jc w:val="left"/>
              <w:rPr/>
            </w:pPr>
            <w:r>
              <w:rPr/>
              <w:t>%</w:t>
            </w:r>
          </w:p>
        </w:tc>
      </w:tr>
      <w:tr>
        <w:trPr/>
        <w:tc>
          <w:tcPr>
            <w:tcW w:w="1250" w:type="dxa"/>
            <w:tcBorders/>
            <w:shd w:fill="FFFFFF" w:val="clear"/>
            <w:vAlign w:val="center"/>
          </w:tcPr>
          <w:p>
            <w:pPr>
              <w:pStyle w:val="TableContents"/>
              <w:bidi w:val="0"/>
              <w:spacing w:before="0" w:after="283"/>
              <w:jc w:val="left"/>
              <w:rPr/>
            </w:pPr>
            <w:r>
              <w:rPr/>
              <w:t>Percentage NAV Dilution/Accretion Experienced by Investor A (NAV Dilution/ Accretion per Share Divided by Investment per Share)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17.74</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22.06</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18.95</w:t>
            </w:r>
          </w:p>
        </w:tc>
        <w:tc>
          <w:tcPr>
            <w:tcW w:w="24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13.24</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23"/>
      <w:bookmarkEnd w:id="37"/>
      <w:r>
        <w:rPr>
          <w:rFonts w:ascii="Times New Roman;Times;Serif" w:hAnsi="Times New Roman;Times;Serif"/>
          <w:b/>
          <w:i w:val="false"/>
          <w:caps w:val="false"/>
          <w:smallCaps w:val="false"/>
          <w:sz w:val="20"/>
        </w:rPr>
        <w:t>DESCRIPTION OF OUR CAPITAL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based on relevant portions of the Maryland General Corporation Law (the “MGCL”) and our charter and bylaws, which we collectively refer to as our “governing documents.”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stock consists of 100,000,000 shares of common stock, par value $0.001 per share, all of which are designated as shares of common stock. Our common stock trades under the symbol “SAR” on the NYSE. There are no outstanding options or warrants to purchase our common stock. No shares of common stock have been authorized for issuance under any equity compensation plans. Under the MGCL, our stockholders generally are not personally liable for our debts or obligations.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governing documents, our board of directors is authorized to create new classes or series of shares of stock and to authorize the issuance of shares of stock without obtaining stockholder approval.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has equal rights as to earnings, assets, dividends and voting and all of our outstanding shares of common stock are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each share of common stock would be entitled to share ratably in all of our assets that are legally available for distribution after we pay all debts and other liabilities and subject to any preferential rights of holders of shares of our preferred stock, if any are outstanding at such time. Each share of our common stock entitles its holder to cast one vote on all matters submitted to a vote of stockholders, including the election and removal of directors.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authorized shares of stock under our charter and shares of stock outstanding as of January 14, 2026.</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763" w:type="dxa"/>
        <w:jc w:val="left"/>
        <w:tblInd w:w="0" w:type="dxa"/>
        <w:tblLayout w:type="fixed"/>
        <w:tblCellMar>
          <w:top w:w="0" w:type="dxa"/>
          <w:left w:w="0" w:type="dxa"/>
          <w:bottom w:w="28" w:type="dxa"/>
          <w:right w:w="0" w:type="dxa"/>
        </w:tblCellMar>
      </w:tblPr>
      <w:tblGrid>
        <w:gridCol w:w="1550"/>
        <w:gridCol w:w="90"/>
        <w:gridCol w:w="90"/>
        <w:gridCol w:w="1250"/>
        <w:gridCol w:w="90"/>
        <w:gridCol w:w="90"/>
        <w:gridCol w:w="224"/>
        <w:gridCol w:w="725"/>
        <w:gridCol w:w="90"/>
        <w:gridCol w:w="90"/>
        <w:gridCol w:w="98"/>
        <w:gridCol w:w="1241"/>
        <w:gridCol w:w="135"/>
      </w:tblGrid>
      <w:tr>
        <w:trPr/>
        <w:tc>
          <w:tcPr>
            <w:tcW w:w="1550" w:type="dxa"/>
            <w:tcBorders>
              <w:bottom w:val="single" w:sz="8" w:space="0" w:color="000000"/>
            </w:tcBorders>
            <w:vAlign w:val="center"/>
          </w:tcPr>
          <w:p>
            <w:pPr>
              <w:pStyle w:val="TableContents"/>
              <w:bidi w:val="0"/>
              <w:spacing w:before="0" w:after="283"/>
              <w:jc w:val="left"/>
              <w:rPr>
                <w:b/>
              </w:rPr>
            </w:pPr>
            <w:r>
              <w:rPr>
                <w:b/>
              </w:rPr>
              <w:t>Title of Class</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8" w:space="0" w:color="000000"/>
            </w:tcBorders>
            <w:vAlign w:val="center"/>
          </w:tcPr>
          <w:p>
            <w:pPr>
              <w:pStyle w:val="TableContents"/>
              <w:bidi w:val="0"/>
              <w:spacing w:before="0" w:after="283"/>
              <w:jc w:val="center"/>
              <w:rPr>
                <w:b/>
              </w:rPr>
            </w:pPr>
            <w:r>
              <w:rPr>
                <w:b/>
              </w:rPr>
              <w:t>Shares</w:t>
              <w:br/>
              <w:t>Authorized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9" w:type="dxa"/>
            <w:gridSpan w:val="2"/>
            <w:tcBorders>
              <w:bottom w:val="single" w:sz="8" w:space="0" w:color="000000"/>
            </w:tcBorders>
            <w:vAlign w:val="center"/>
          </w:tcPr>
          <w:p>
            <w:pPr>
              <w:pStyle w:val="TableContents"/>
              <w:bidi w:val="0"/>
              <w:spacing w:before="0" w:after="283"/>
              <w:jc w:val="center"/>
              <w:rPr>
                <w:b/>
              </w:rPr>
            </w:pPr>
            <w:r>
              <w:rPr>
                <w:b/>
              </w:rPr>
              <w:t xml:space="preserve">Amount </w:t>
              <w:br/>
              <w:t xml:space="preserve">Held by </w:t>
              <w:br/>
              <w:t xml:space="preserve">Us </w:t>
              <w:br/>
              <w:t>or for</w:t>
              <w:br/>
              <w:t xml:space="preserve">Our </w:t>
              <w:br/>
              <w:t>Account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rPr>
            </w:pPr>
            <w:r>
              <w:rPr>
                <w:b/>
              </w:rPr>
              <w:t>Amount</w:t>
              <w:br/>
              <w:t>Outstanding</w:t>
              <w:br/>
              <w:t>Exclusive of</w:t>
              <w:br/>
              <w:t>Amount</w:t>
              <w:br/>
              <w:t>Held</w:t>
              <w:br/>
              <w:t xml:space="preserve">by Us or for </w:t>
              <w:br/>
              <w:t xml:space="preserve">Our </w:t>
              <w:br/>
              <w:t>Account</w:t>
            </w:r>
          </w:p>
        </w:tc>
        <w:tc>
          <w:tcPr>
            <w:tcW w:w="135" w:type="dxa"/>
            <w:tcBorders/>
            <w:tcMar>
              <w:bottom w:w="0" w:type="dxa"/>
            </w:tcMar>
            <w:vAlign w:val="center"/>
          </w:tcPr>
          <w:p>
            <w:pPr>
              <w:pStyle w:val="TableContents"/>
              <w:bidi w:val="0"/>
              <w:spacing w:before="0" w:after="283"/>
              <w:jc w:val="left"/>
              <w:rPr/>
            </w:pPr>
            <w:r>
              <w:rPr/>
              <w:t> </w:t>
            </w:r>
          </w:p>
        </w:tc>
      </w:tr>
      <w:tr>
        <w:trPr/>
        <w:tc>
          <w:tcPr>
            <w:tcW w:w="1550" w:type="dxa"/>
            <w:tcBorders/>
            <w:shd w:fill="CCEEFF" w:val="clear"/>
            <w:tcMar>
              <w:bottom w:w="0" w:type="dxa"/>
            </w:tcMar>
            <w:vAlign w:val="center"/>
          </w:tcPr>
          <w:p>
            <w:pPr>
              <w:pStyle w:val="TableContents"/>
              <w:bidi w:val="0"/>
              <w:spacing w:before="0" w:after="283"/>
              <w:jc w:val="both"/>
              <w:rPr/>
            </w:pPr>
            <w:r>
              <w:rPr/>
              <w:t>Common Stock</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100,000,000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241" w:type="dxa"/>
            <w:tcBorders/>
            <w:shd w:fill="CCEEFF" w:val="clear"/>
            <w:tcMar>
              <w:bottom w:w="0" w:type="dxa"/>
            </w:tcMar>
            <w:vAlign w:val="center"/>
          </w:tcPr>
          <w:p>
            <w:pPr>
              <w:pStyle w:val="TableContents"/>
              <w:bidi w:val="0"/>
              <w:spacing w:before="0" w:after="283"/>
              <w:jc w:val="right"/>
              <w:rPr/>
            </w:pPr>
            <w:r>
              <w:rPr/>
              <w:t>16,184,058</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authorize our board of directors to classify and reclassify any unissued shares of stock into other classes or series of stock, including preferred stock. Prior to the issuance of shares of stock of each class or series, the board of directors is required by our governing documents to set the terms, preferences, conversion or other rights, voting powers, restrictions, limitations as to dividends or other distributions, qualifications and terms or conditions of redemption for each class or series of shares of stock. Thus, the board of directors could authorize the issuance of preferred stock with terms and conditions that could have the effect of delaying, deferring or preventing a transaction or a change in control that might involve a premium price for holders of our common stock or otherwise be in their best interest. In addition, as a BDC,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the aggregate dividend or distribution on, or purchase price of, such shares of preferred stock together with all other indebtedness and senior securities must not exceed an amount equal to 50% of our total assets after deducting the amount of such dividend, distribution or purchase price, as the case may be, and (2) the holders of preferred stock, if any are issued, must be entitled as a class to elect two directors at all times and to elect a majority of the directors if dividends on such preferred stock is in arrears by two years or more. Certain matters under the 1940 Act require the separate vote of the holders of any issued and outstanding shares of preferred stock. We believe that the availability for issuance of preferred stock will provide us with increased flexibility in structuring future financings and acquisitions.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of Directors and Officers; Indemnification and Advance of Expenses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governing documents contain a provision which eliminates directors’ and officers’ liability to the maximum extent permitted by the MGCL, subject to the requirements of the 1940 Act.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us to obligate ourselves, and our bylaws do obligate us, to the maximum extent permitted by the MGCL and subject to any applicable requirements of the 1940 Act, to indemnify and to pay or reimburse reasonable expenses in advance of final disposition of a proceeding to (1) any present or former director or officer or (2) any individual who, while a director or officer and at our request, serves or has served another corporation, real estate investment trust, partnership, limited liability company, joint venture, trust, employee benefit plan or other enterprise as a director, officer, partner, manager, member or trustee, from and against any claim or liability to which that person may become subject for which that person may incur by reason of his or her service in such capacity. Our charter and bylaws also permit indemnification and the advancement of expenses to any person who served a predecessor to Saratoga Investment Corp. in any of the capacities described above and any of our employees or agents or any employees or agents of such predecessor.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and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provided for in our bylaws, we have entered into indemnification agreements with each of our current directors and officers and we intend to enter into indemnification agreements with each of our future directors and officers. The indemnification agreements attempt to provide these directors and officers the maximum indemnification permitted under the MGCL and the 1940 Act. The agreements provide, among other things, for the advancement of expenses and indemnification for liabilities incurred which such person may incur by reason of his or her status as a present or former director or officer in any action or proceeding arising out of the performance of such person’s services as a present or former director or officer.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Our Governing Documents and the Maryland General Corporation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and the MGCL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of directors serving staggered three-year terms. Directors of each class are elected to serve for three-year terms and until their successors are duly elected and qualify, and each year one class of directors is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the number of directors will be set only by our board of directors in accordance with our bylaws. Our bylaws provide that a majority of our entire board of directors may at any time increase or decrease the number of directors. However, unless our bylaws are amended, the number of directors may never be less than three nor more than eleven. Our charter provides that, except as may be provided by the board of directors in setting the terms of any class or series of shares of stock, so long as we have a class of securities registered under the Exchange Act and at least three independent directors,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 If there are no directors then in office, vacancies may be filled by stockholders at a special meeting called for such purpose. Our charter provides that a director may be removed only by the affirmative vote of at least two-thirds of the votes entitled to be cast generally in the election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the affirmative vote of the holders of a plurality of the votes cast at a meeting of the Company’s stockholders duly called and at which a quorum is present will be required to elect each director. Pursuant to our charter and bylaws, our board of directors may amend the bylaws to alter the vote required to elect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Stockholders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will generally be able to vote on any matter that is a proper subject for action by the stockholders of a Maryland corporation, including in respect of the election or removal of directors as well as other extraordinary matters. Under the MGCL, stockholder action can be taken only at an annual or special meeting of stockholders or by written or electronically-transmitted unanimous consent in lieu of a meeting. These provisions, combined with the requirements of our governing documents regarding the calling of a stockholder-requested special meeting of stockholder discussed below, may have the effect of delaying consideration of a stockholder proposal until the next annual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Provisions for Stockholder Nominations and Stockholder Proposals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with respect to an annual meeting of our stockholders, nominations of individuals for election to the board of directors and the proposal of business to be considered by stockholders may be made only (1) pursuant to our notice of the meeting, (2) by or at the direction of the board of directors, (3) by any stockholder who is a stockholder of record both at the time of giving notice by the stockholder and at the time of the annual meeting, who is entitled to vote at the meeting and who has complied with the advance notice procedures of the bylaws. With respect to special meetings of stockholders, only the business specified in our notice of the meeting may be brought before the meeting. Nominations of individuals for election to the board of directors at a special meeting may be made only (1) pursuant to our notice of the meeting, (2) by or at the direction of the board of directors, (3) provided that the board of directors has determined that directors will be elected at the meeting, by a stockholder who is a stockholder of record both at the time of giving notice by the stockholder and at the time of the special meeting and who is entitled to vote at the meeting and who has complied with the advance notice provisions of our bylaws or (4) by a stockholder who is entitled to vote at the meeting in circumstances in which a special meeting of stockholders is called for the purpose of electing directors when no directors remain in office.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Meetings of Stockholders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our stockholders may be called by our board of directors and certain of our officers. Additionally, our bylaws provide that, subject to the satisfaction of certain procedural and informational requirements by the stockholders requesting the meeting, a special meeting of our stockholders will be called by our secretary upon the written request of stockholders entitled to cast not less than a majority of all the votes entitled to be cast at such meeting, except that, if no directors remain in office, a special meeting of our stockholders shall be called to elect directors by the secretary upon the written request of holders entitled to cast at least 10% of the votes entitled to be cast generally in the election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a Maryland corporation generally cannot dissolve or amend its charter unless the corporation’s board of directors declares the dissolution or amendment to be advisable and the dissolution or amendment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 Our charter generally provides for approval of amendments to our charter by the stockholders entitled to cast at least a majority of the votes entitled to be cast on the matter. However, our charter also provides that certain charter amendments and proposals for our liquidation, dissolution or conversion, whether by merger or otherwise, from a closed-end company to an open-end company require the approval of the stockholders entitled to cast at least two-thirds percent of the votes entitled to be cast on such matter.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as defined in our charter, our current directors as well as those directors whose nomination for election by the stockholders or whose election by the directors to fill vacancies is approved by a majority of the continuing directors then on the board of directors.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the board of directors has the exclusive power to adopt, alter or repeal any provision of our bylaws and to make new bylaws.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Extraordinary 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Maryland law, a Maryland corporation generally cannot amend its charter, merge, sell all or substantially all of its assets, engage in a share exchange or engage in similar transactions outside the ordinary course of business, unless the corporation’s board of directors declares action or transaction to be advisable and the action or transaction is approved by the affirmative vote of stockholders entitled to cast at least two-thirds of the votes entitled to be cast on the matter. A Maryland corporation may provide in its charter for approval of these matters by a lesser percentage, but not less than a majority of all of the votes entitled to be cast on the matter.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 merger that would result in our conversion to an open-end company, which requires the approval described above, our charter provides that we may merge, sell all or substantially all of our assets, engage in a consolidation or share exchange or engage in similar transactions, if such transaction is declared advisable by our board of directors and approved by a majority of all of the votes entitled to be cast on the matter.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Appraisal Rights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appraisal rights arising in connection with the Maryland Control Share Acquisition Act discussed below, as permitted by the MGCL, our governing documents provide that our stockholders will not be entitled to exercise appraisal rights unless a majority of our board of directors determines that such rights will apply with respect to all or any classes or series of stock, to one or more transactions occurring after the date of such determination in connection with which holders of such shares would otherwise be entitled to exercise appraisal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 Share Acquisitions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Acquisition Act provides that control shares of a Maryland corporation acquired in a control share acquisition have no voting rights with respect to the control shares except to the extent approved by the affirmative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pPr>
            <w:r>
              <w:rPr/>
              <w:t>one-tenth or more but less than one-third;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5"/>
        <w:gridCol w:w="200"/>
        <w:gridCol w:w="42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one-third or more but less than a majority; or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pPr>
            <w:r>
              <w:rPr/>
              <w:t>a majority or more of all voting power.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which will prohibit any such repurchase other than in limited circumstances.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Acquisition Act does not apply (a) to shares acquired in a merger, consolidation or share exchange if the corporation is a party to the transaction or (b) to acquisitions approved or exempted by the charter or bylaws of the corporation.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bylaws contain a provision exempting from the Control Share Acquisition Act any and all acquisitions by any person of our common stock. Such provision could also be amended or eliminated at any time in the future. The SEC staff previously took the position that, if a BDC failed to opt-out of the Control Share Acquisition Act, its actions would be inconsistent with Section 18(i) of the 1940 Act. However, the SEC recently withdrew its previous position, and stated that it would not recommend enforcement action against a closed-end fund, including a BDC, that opts in to being subject to the Control Share Acquisition Act if the closed-end fund acts with reasonable care on a basis consistent with other applicable duties and laws and the duty to the company and its shareholders generally. As such, we may amend our bylaws, but will do so only if our board of directors determines that it would be in our best interests and if such amendment can be accomplished in compliance with applicable laws, regulations and SEC guidance.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any person who beneficially owns 10% or more of the voting power of the corporation’s stock; or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affiliate or associate of the corporation who, at any time within the two-year period prior to the date in question, was the beneficial owner of 10% or more of the voting power of the then outstanding voting stock of the corporation.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five-year prohibition, any business combination between the corporation and an interested stockholder generally must be recommended by the board of directors of the corporation and approved by the affirmative vote of at least: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80% of the votes entitled to be cast by holders of outstanding shares of voting stock of the corporation;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super-majority vote requirements do not apply if the corporation’s stockholders receive a minimum price, as defined under Maryland law, for their shares in the form of cash or other consideration in the same form as previously paid by the interested stockholder for its shares.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Our board of directors has adopted a resolution exempting from the provisions of the Maryland Business Combination Act any business combination between us and any other person. If our board of directors adopts resolutions causing us to be subject to the provisions of the Business Combination Act, these provisions may discourage others from trying to acquire control of us and increase the difficulty of consummating any offer.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 with 1940 Act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if and to the extent that any provision of the MGCL, including the Control Share Acquisition Act or the Business Combination Act (if we amend our bylaws to be subject to such Acts), or any provision of our charter or bylaws conflicts with any provision of the 1940 Act, the applicable provision of the 1940 Act will control.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24"/>
      <w:bookmarkEnd w:id="38"/>
      <w:r>
        <w:rPr>
          <w:rFonts w:ascii="Times New Roman;Times;Serif" w:hAnsi="Times New Roman;Times;Serif"/>
          <w:b/>
          <w:i w:val="false"/>
          <w:caps w:val="false"/>
          <w:smallCaps w:val="false"/>
          <w:sz w:val="20"/>
        </w:rPr>
        <w:t xml:space="preserve">DESCRIPTION OF OUR SUBSCRIPTION RIGHTS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would describe the following terms of subscription rights in respect of which this prospectus is being delivered: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05"/>
        <w:gridCol w:w="200"/>
        <w:gridCol w:w="33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pPr>
            <w:r>
              <w:rPr/>
              <w:t>the title of such subscription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105"/>
        <w:gridCol w:w="200"/>
        <w:gridCol w:w="9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both"/>
              <w:rPr/>
            </w:pPr>
            <w:r>
              <w:rPr/>
              <w:t>the exercise price or a formula for the determination of the exercise price for such subscription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number or a formula for the determination of the number of such subscription rights issued to each stockholder;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the extent to which such subscription rights are transferable;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applicable, a discussion of certain U.S. federal income tax considerations applicable to the issuance or exercise of such subscription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date on which the right to exercise such subscription rights would commence, and the date on which such rights shall expire (subject to any extension);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extent to which such subscription rights include an over-subscription privilege with respect to unsubscribed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applicable, the material terms of any standby underwriting or other purchase arrangement that we may enter into in connection with the subscription rights offering;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any other terms of such subscription rights, including terms, procedures and limitations relating to the exchange and exercise of such subscription rights.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NAV per share, the rights offering may reduce our NAV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25"/>
      <w:bookmarkEnd w:id="39"/>
      <w:r>
        <w:rPr>
          <w:rFonts w:ascii="Times New Roman;Times;Serif" w:hAnsi="Times New Roman;Times;Serif"/>
          <w:b/>
          <w:i w:val="false"/>
          <w:caps w:val="false"/>
          <w:smallCaps w:val="false"/>
          <w:sz w:val="20"/>
        </w:rPr>
        <w:t xml:space="preserve">DESCRIPTION OF OUR DEBT SECURITIES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 with respect to our debt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material terms of the indenture and the supplemental indenture, as well as an explanation of your rights as a holder of debt securities, are described in this prospectus and in the prospectus supplement accompanying this prospectus. Because this section is a summary, however, it does not describe every aspect of the debt securities and the indenture. We urge you to read the indenture because it, and not this description, defines your rights as a holder of debt securities. A copy of the form of indenture is incorporated by reference as an exhibit to the registration statement of which this prospectus is a part. See “Available Information” for information on how to obtain a copy of the indenture. We will file a supplemental indenture with the SEC in connection with any debt offering, at which time the supplemental indenture would be publicly available.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which will accompany this prospectus, will describe the particular series of debt securities being offered by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05"/>
        <w:gridCol w:w="200"/>
        <w:gridCol w:w="5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the designation or title of the series of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105"/>
        <w:gridCol w:w="200"/>
        <w:gridCol w:w="5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pPr>
            <w:r>
              <w:rPr/>
              <w:t>the total principal amount of the series of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05"/>
        <w:gridCol w:w="200"/>
        <w:gridCol w:w="8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the percentage of the principal amount at which the series of debt securities will be offered;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pPr>
            <w:r>
              <w:rPr/>
              <w:t>the date or dates on which principal will be payable;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rate or rates (which may be either fixed or variable) and/or the method of determining such rate or rates of interest, if any;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date or dates from which any interest will accrue, or the method of determining such date or dates, and the date or dates on which any interest will be payable;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whether any interest may be paid by issuing additional securities of the same series in lieu of cash (and the terms upon which any such interest may be paid by issuing additional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pPr>
            <w:r>
              <w:rPr/>
              <w:t>the terms for redemption, extension or early repayment, if any;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105"/>
        <w:gridCol w:w="200"/>
        <w:gridCol w:w="71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283"/>
              <w:jc w:val="both"/>
              <w:rPr/>
            </w:pPr>
            <w:r>
              <w:rPr/>
              <w:t>the currencies in which the series of debt securities are issued and payable;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place or places, if any, other than or in addition to the Borough of Manhattan in the City of New York, of payment, transfer, conversion and/or exchange of the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denominations in which the offered debt securities will be issued (if other than $1,000 and any integral multiple thereof);</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05"/>
        <w:gridCol w:w="200"/>
        <w:gridCol w:w="3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the provision for any sinking fund;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05"/>
        <w:gridCol w:w="200"/>
        <w:gridCol w:w="2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both"/>
              <w:rPr/>
            </w:pPr>
            <w:r>
              <w:rPr/>
              <w:t>any restrictive covenants;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any Events of Default (as defined in “Events of Default” below);</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105"/>
        <w:gridCol w:w="200"/>
        <w:gridCol w:w="6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pPr>
            <w:r>
              <w:rPr/>
              <w:t>whether the series of debt securities are issuable in certificated form;</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provisions for defeasance or covenant defeasance;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any special U.S. federal income tax implications, including, if applicable, U.S. federal income tax considerations relating to original issue discount;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105"/>
        <w:gridCol w:w="200"/>
        <w:gridCol w:w="9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any provisions for convertibility or exchangeability of the debt securities into or for any other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
        <w:gridCol w:w="200"/>
        <w:gridCol w:w="8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whether the debt securities are subject to subordination and the terms of such subordination;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05"/>
        <w:gridCol w:w="200"/>
        <w:gridCol w:w="72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whether the debt securities are secured and the terms of any security interest;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the listing, if any, on a securities exchange;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105"/>
        <w:gridCol w:w="200"/>
        <w:gridCol w:w="1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283"/>
              <w:jc w:val="both"/>
              <w:rPr/>
            </w:pPr>
            <w:r>
              <w:rPr/>
              <w:t>any other terms.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 Risks Relating to Our Business and Structure — Effective April 16, 2019, our asset coverage requirement was reduced from 200% to 150%, which could increase the risk of investing in the Company” in Part I, Item 1A of our most recent Annual Report on Form 10-K.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For a discussion of the risks associated with leverage, see “Risk Factors—Risks Related to Our Business and Structure—Regulations governing our operation as a BDC will affect our ability to raise additional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contain any provisions that give you protection in the event we issue a large amount of debt or we are acquired by another entity.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Securities in Registered Form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Book-Entry 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Street Name 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Indirect 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how it handles securities payments and notices;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05"/>
        <w:gridCol w:w="200"/>
        <w:gridCol w:w="33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both"/>
              <w:rPr/>
            </w:pPr>
            <w:r>
              <w:rPr/>
              <w:t>whether it imposes fees or charges;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how it would handle a request for the holders’ consent, if ever required;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whether and how you can instruct it to send you debt securities registered in your own name so you can be a holder, if that is permitted in the future for a particular series of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how it would exercise rights under the debt securities if there were a default or other event triggering the need for holders to act to protect their interests;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the debt securities are in book-entry form, how the depositary’s rules and procedures will affect these matters.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Global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are issued only in the form of a global security, an investor should be aware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investor cannot cause the debt securities to be registered in his or her name and cannot obtain certificates for his or her interest in the debt securities, except in the special situations we describe below;</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investor may not be able to sell interests in the debt securities to some insurance companies and other institutions that are required by law to own their securities in non-book-entry form;</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investor may not be able to pledge his or her interest in a global security in circumstances where certificates representing the debt securities must be delivered to the lender or other beneficiary of the pledge in order for the pledge to be effective;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we redeem less than all the debt securities of a particular series being redeemed, DTC’s practice is to determine by lot the amount to be redeemed from each of its participants holding that series;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 Global Security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Global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“—Special Considerations for Global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Certificated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When Offices Are Closed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and other indirect holders should consult their banks or brokers for information on how they will receive payments on their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in respect of the debt securities of your series means any of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pPr>
            <w:r>
              <w:rPr/>
              <w:t>we do not pay the principal of (or premium, if any, on) a debt security of the series when due;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do not pay interest on a debt security of the series when due, and such default is not cured within 30 days;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do not deposit any sinking fund payment in respect of debt securities of the series within two business days of its due date;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file for bankruptcy or certain other events of bankruptcy, insolvency or reorganization occur and remain undischarged or unstayed for a period of 60 days;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series of debt securities has an asset coverage, as such term is defined in the 1940 Act, of less than 100 per centum on the last business day of each of twenty-four consecutive calendar months, after giving effect to any exemptive relief granted to the Company by the SEC; or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any other Event of Default in respect of debt securities of the series described in the prospectus supplement occurs.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Remedies if an Event of Default Occurs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the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it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you must give the trustee written notice that an Event of Default with respect to the relevant series of debt securities has occurred and remains uncured;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costs, expenses and other liabilities of taking that action;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trustee must not have taken action for 60 days after receipt of the above notice and offer of indemnity and/or security;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holders of a majority in principal amount of the outstanding debt securities of that series must not have given the trustee a direction inconsistent with the above notice during that 60-day period.</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you are entitled at any time to bring a lawsuit for the payment of money due on your debt securities on or after the due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 of Default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principal amount of the outstanding debt securities of the affected series may waive any past defaults other than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the payment of principal, any premium or interest; or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05"/>
        <w:gridCol w:w="200"/>
        <w:gridCol w:w="9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in respect of a covenant that cannot be modified or amended without the consent of each holder.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we are generally permitted to consolidate or merge with another corporation. We are also permitted to sell all or substantially all of our assets to another corporation. However, we may not take any of these actions unless all the following conditions are met: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where we merge out of existence or sell substantially all our assets, the resulting corporation or transferee must agree to be legally responsible for our obligations under the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we must deliver certain certificates and documents to the trustee;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satisfy any other requirements specified in the prospectus supplement relating to a particular series of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types of changes we can make to the indenture and the debt securities issued thereunder.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Your Approval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we cannot make to your debt securities without your specific approval. The following is a list of those types of changes: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change the stated maturity of the principal of or interest on a debt security or the terms of any sinking fund with respect to any security;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05"/>
        <w:gridCol w:w="200"/>
        <w:gridCol w:w="41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pPr>
            <w:r>
              <w:rPr/>
              <w:t>reduce any amounts due on a debt security;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reduce the amount of principal payable upon acceleration of the maturity of an original issue discount or indexed security following a default or upon the redemption thereof or the amount thereof provable in a bankruptcy proceeding;</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05"/>
        <w:gridCol w:w="200"/>
        <w:gridCol w:w="5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pPr>
            <w:r>
              <w:rPr/>
              <w:t>adversely affect any right of repayment at the holder’s option;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change the place or currency of payment on a debt security (except as otherwise described in the prospectus or prospectus supplement);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05"/>
        <w:gridCol w:w="200"/>
        <w:gridCol w:w="3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pPr>
            <w:r>
              <w:rPr/>
              <w:t>impair your right to sue for payment;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05"/>
        <w:gridCol w:w="200"/>
        <w:gridCol w:w="8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pPr>
            <w:r>
              <w:rPr/>
              <w:t>adversely affect any right to convert or exchange a debt security in accordance with its terms;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modify the subordination provisions in the indenture in a manner that is adverse to outstanding holders of the debt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reduce the percentage of holders of debt securities whose consent is needed to modify or amend the indenture;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reduce the percentage of holders of debt securities whose consent is needed to waive compliance with certain provisions of the indenture or to waive certain defaults;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modify any other aspect of the provisions of the indenture dealing with supplemental indentures with the consent of holders, waiver of past defaults, changes to the quorum or voting requirements or the waiver of certain covenants;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05"/>
        <w:gridCol w:w="200"/>
        <w:gridCol w:w="5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change any obligation we have to pay additional amounts.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Not Requiring Approval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Majority Approval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debt securities would require the following approval:</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the change affects only one series of debt securities, it must be approved by the holders of a majority in principal amount of that series;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“—Changes Requiring Your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Details Concerning Voting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we will use the following rules to decide how much principal to attribute to a debt security: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original issue discount securities, we will use the principal amount that would be due and payable on the voting date if the maturity of these debt securities were accelerated to that date because of a default;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debt securities whose principal amount is not known (for example, because it is based on an index), we will use the principal face amount at original issuance or a special rule for that debt security described in the prospectus supplement;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for debt securities denominated in one or more foreign currencies, we will use the U.S. dollar equivalent.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“—Defeasance—Full Defeasance.”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Defeasance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“—Indenture Provisions—Subordination”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deliver to the trustee a legal opinion of our counsel confirming that, under current U.S. federal income tax law, we may make the above deposit without causing you to be taxed on the debt securities any differently than if we did not make the deposit;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defeasance must not result in a breach or violation of, or result in a default under, of the indenture or any of our other material agreements or instruments;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no default or event of default with respect to such debt securities shall have occurred and be continuing and no defaults or events of default related to bankruptcy, insolvency or reorganization shall occur during the next 90 days;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pPr>
            <w:r>
              <w:rPr/>
              <w:t>satisfy the conditions for covenant defeasance contained in any supplemental indentures.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Defeasance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income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defeasance must not result in a breach or violation of, or constitute a default under, of the indenture or any of our other material agreements or instruments;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no default or event of default with respect to such debt securities shall have occurred and be continuing and no defaults or events of default related to bankruptcy, insolvency or reorganization shall occur during the next 90 days;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105"/>
        <w:gridCol w:w="200"/>
        <w:gridCol w:w="7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pPr>
            <w:r>
              <w:rPr/>
              <w:t>satisfy the conditions for full defeasance contained in any supplemental indentures.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“—Indenture Provisions—Subordination”,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 of Certificated Registered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debt securities cease to be issued in book-entry form, they will be issued: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05"/>
        <w:gridCol w:w="200"/>
        <w:gridCol w:w="3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only in fully registered certificated form;</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without interest coupons;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unless we indicate otherwise in the prospectus supplement, in denominations of $1,000 and amounts that are multiples of $1,000.</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 Provisions—Subordination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Indebtedness is defined in the indenture as the principal of (and premium, if any) and unpaid interest 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renewals, extensions, modifications and refinancings of any of this indebtedness.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Indebtedness and Ranking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 (i.e., the holders of the debt securities will not have access to the assets of the Company’s subsidiaries, financing vehicles or similar facilities until after all of these entities’ creditors have been paid and the remaining assets have been distributed up to the Company as the equity holder of these entities). In this regard, any notes that we may issue will be strictly the obligation of the Company, and not of Saratoga CLO, or any subsidiary we may form in the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successor in interest to U.S. Bank National Association) serves as the trustee under the indenture.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Considerations Relating to Foreign Currencies</w:t>
      </w:r>
    </w:p>
    <w:p>
      <w:pPr>
        <w:pStyle w:val="TextBody"/>
        <w:bidi w:val="0"/>
        <w:spacing w:before="0" w:after="0"/>
        <w:ind w:left="15"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0"/>
        <w:ind w:left="15" w:right="0" w:hanging="0"/>
        <w:jc w:val="both"/>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a_026"/>
      <w:bookmarkEnd w:id="40"/>
      <w:r>
        <w:rPr>
          <w:rFonts w:ascii="Times New Roman;Times;Serif" w:hAnsi="Times New Roman;Times;Serif"/>
          <w:b/>
          <w:i w:val="false"/>
          <w:caps w:val="false"/>
          <w:smallCaps w:val="false"/>
          <w:sz w:val="20"/>
        </w:rPr>
        <w:t xml:space="preserve">DESCRIPTION OF OUR WARRANTS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warrants we may issue from time to time. Particular terms of any warrants we offer will be described in the prospectus supplement relating to such warrants and will be subject to compliance with the 1940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below, subject to receiving stockholder approval to issue warrants at a future annual meeting of stockholders, we may issue warrants to purchase shares of our common stock or debt securities. Such warrants may be issued independently or together with shares of common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series of warrants we may issue, including the following:</w:t>
      </w:r>
    </w:p>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05"/>
        <w:gridCol w:w="200"/>
        <w:gridCol w:w="4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the title and aggregate number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the price or prices at which such warrants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currency or currencies, including composite currencies, in which the price of such warrants may be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 the case of warrants to purchase common stock, the number of shares of common stock purchasable upon exercise of one warrant and the price at which and the currency or currencies, including composite currencies, in which these shares may be purchased upon such exercise;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date on which the right to exercise such warrants shall commence and the date on which such right will expire (subject to any extension);</w:t>
            </w:r>
          </w:p>
        </w:tc>
      </w:tr>
    </w:tbl>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05"/>
        <w:gridCol w:w="200"/>
        <w:gridCol w:w="6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whether such warrants will be issued in registered form or bearer form;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applicable, the minimum or maximum amount of such warrants that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if applicable, the date on and after which such warrants and the related securities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05"/>
        <w:gridCol w:w="200"/>
        <w:gridCol w:w="53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pPr>
            <w:r>
              <w:rPr/>
              <w:t>the terms of any rights to redeem, or call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pPr>
            <w:r>
              <w:rPr/>
              <w:t>information with respect to book-entry procedures, if any;</w:t>
            </w:r>
          </w:p>
        </w:tc>
      </w:tr>
    </w:tbl>
    <w:p>
      <w:pPr>
        <w:pStyle w:val="TextBody"/>
        <w:bidi w:val="0"/>
        <w:spacing w:before="0" w:after="0"/>
        <w:ind w:left="0" w:right="0" w:hanging="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the terms of the securities issuable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pPr>
            <w:r>
              <w:rPr/>
              <w:t>if applicable, a discussion of certain U.S. federal income tax considerations;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for cash such common stock at the exercise price or such principal amount of debt securities as shall in each case be set forth in, or be determinable as set forth in, the prospectus supplement relating to the warrants offered thereby. Warrants may be exercised as set forth in the prospectus supplement beginning on the date specified therein and continuing until the close of business on the expiration date set forth in the prospectus supplement. After the close of business on the expiration date, unexercised warrants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a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are exercised, a new warrant certificate will be issued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the right to receive dividends or other distributions, if any, or payments upon our liquidation, dissolution or winding up or to exercise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seek the approval of our stockholders to approve a proposal to authorize us to issue securities to subscribe to, convert to, or purchase shares of our common stock in one or more offerings. Such authorization will have no expiration. If we do not receive such stockholder approval, we will not issue any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a_027"/>
      <w:bookmarkEnd w:id="4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or series, up to $750,000,000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of our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our securities offered by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our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and discounts or agency fees paid by us, must generally equal or exceed the NAV per share of our common stock. We may, under certain circumstances, consider selling our securities at prices below our NAV per share consistent with the terms of our stockholder approval to sell our shares of common stock at a price below our NAV per share. Any offering of shares of our common stock at a price below our then current NAV per share that requires stockholder approval must occur, if at all, within one year after receiving such stockholder approval. We do not currently have stockholder approval of issuances below NAV.</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securities, underwriters or agents may receive compensation from us or from purchasers of our securities, for whom they may act as agents, in the form of discounts, concessions or commissions. Our common stockholders will bear, directly or indirectly, such expenses, as well as any other fees and the expenses incurred by us in connection with any offering of our securities, including debt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over-allotment option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that are qualified market makers on the NYSE may engage in passive market making transactions in our common stock on the NYSE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into which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a_028"/>
      <w:bookmarkEnd w:id="42"/>
      <w:r>
        <w:rPr>
          <w:rFonts w:ascii="Times New Roman;Times;Serif" w:hAnsi="Times New Roman;Times;Serif"/>
          <w:b/>
          <w:i w:val="false"/>
          <w:caps w:val="false"/>
          <w:smallCaps w:val="false"/>
          <w:sz w:val="20"/>
        </w:rPr>
        <w:t xml:space="preserve">BROKERAGE ALLOCATION AND OTHER PRACTICES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adviser will be primarily responsible for selecting brokers and dealers to execute transactions with respect to the publicly-traded securities portion of our portfolio transactions and the allocation of brokerage commissions. Our investment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adviser generally will seek reasonably competitive trade execution costs but will not necessarily pay the lowest spread or commission available. Subject to applicable legal requirements and consistent with Section 28(e) of the Exchange Act, our investment adviser may select a broker based upon brokerage or research services provided to our investment adviser and us and any other clients. In return for such services, we may pay a higher commission than other brokers would charge if our investment adviser determines in good faith that such commission is reasonable in relation to the services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_029"/>
      <w:bookmarkEnd w:id="43"/>
      <w:r>
        <w:rPr>
          <w:rFonts w:ascii="Times New Roman;Times;Serif" w:hAnsi="Times New Roman;Times;Serif"/>
          <w:b/>
          <w:i w:val="false"/>
          <w:caps w:val="false"/>
          <w:smallCaps w:val="false"/>
          <w:sz w:val="20"/>
        </w:rPr>
        <w:t>CUSTODIAN, TRANSFER AND DIVIDEND PAYING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securities are held under a custody agreement with U.S. Bank National Association. The address of the custodian is U.S. Bank National Association, Corporate Trust Services, One Federal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Floor, Boston, MA 02110. The transfer agent and registrar for our common stock, Broadridge Financial Solutions, Inc., acts as our transfer agent, dividend paying and reinvestment agent for our common stock. The principal business address of the transfer agent is 1717 Arch St., Suite 1300, Philadelphia, PA 19103. U.S. Bank Trust Company, National Association (as successor in interest to U.S. Bank National Association), our trustee under an indenture and the supplemental indentures thereto relating to the Notes, is the paying agent, registrar and transfer agent relating to the Notes. The principal business address of our trustee is 214 N. Tyron Street,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Charlotte, North Carolina 28202.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a_030"/>
      <w:bookmarkEnd w:id="4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regarding the securities offered by this prospectus will be passed upon for us by Eversheds Sutherland (US) LLP,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a_031"/>
      <w:bookmarkEnd w:id="45"/>
      <w:r>
        <w:rPr>
          <w:rFonts w:ascii="Times New Roman;Times;Serif" w:hAnsi="Times New Roman;Times;Serif"/>
          <w:b/>
          <w:i w:val="false"/>
          <w:caps w:val="false"/>
          <w:smallCaps w:val="false"/>
          <w:sz w:val="20"/>
        </w:rPr>
        <w:t>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our independent registered public accounting firm, has audited our consolidated financial statements as of February 28, 2025 and February 29, 2024 and for each of the three years ended February 28, 2025, February 29, 2024, and February 28, 2023. Ernst &amp; Young LLP’s principal business address is One Manhattan West, New York, New York 10001.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the Senior Securities table incorporated by reference under the heading “Senior Securities” for Saratoga Investment Corp. and subsidiaries have been incorporated by reference herein and in the registration statement in reliance upon the reports of Ernst &amp; Young LLP, our independent registered public accounting firm, incorporated by reference herein, upon the authority of said firm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CohnReznick LLP, Saratoga Investment Corp. CLO 2013-1, Ltd.’s independent auditors have audited Saratoga Investment Corp. CLO 2013-1, Ltd.’s financial statements as of February 28, 2025, February 29, 2024, and February 28, 2023, and for the years then ended as set forth in their report incorporated by reference. CohnReznick LLP’s principal business address is 14 Sylvan Way, 3rd Floor, Parsippany, NJ 07054.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a_032"/>
      <w:bookmarkEnd w:id="46"/>
      <w:r>
        <w:rPr>
          <w:rFonts w:ascii="Times New Roman;Times;Serif" w:hAnsi="Times New Roman;Times;Serif"/>
          <w:b/>
          <w:i w:val="false"/>
          <w:caps w:val="false"/>
          <w:smallCaps w:val="false"/>
          <w:sz w:val="20"/>
        </w:rPr>
        <w:t>AVAILABLE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We file with or submit to the SEC annual, quarterly and current reports, proxy statements and other information meeting the informational requirements of the Exchange Act. We maintain a website at </w:t>
      </w:r>
      <w:r>
        <w:rPr>
          <w:rFonts w:ascii="Times New Roman;Times;Serif" w:hAnsi="Times New Roman;Times;Serif"/>
          <w:b w:val="false"/>
          <w:i/>
          <w:caps w:val="false"/>
          <w:smallCaps w:val="false"/>
          <w:sz w:val="20"/>
        </w:rPr>
        <w:t xml:space="preserve">saratogainvestmentcorp.com </w:t>
      </w:r>
      <w:r>
        <w:rPr>
          <w:rFonts w:ascii="Times New Roman;Times;Serif" w:hAnsi="Times New Roman;Times;Serif"/>
          <w:b w:val="false"/>
          <w:i w:val="false"/>
          <w:caps w:val="false"/>
          <w:smallCaps w:val="false"/>
          <w:sz w:val="20"/>
        </w:rPr>
        <w:t>and make all of our annual, quarterly and current reports, proxy statements and other publicly filed information available, free of charge, on or through our website. You may also obtain such information by contacting us in writing at 535 Madison Avenue, New York, NY 10022. The SEC maintains a website that contains reports, proxy and information statements and other information we file with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Information contained on our website is not incorporated by reference into this prospectus or any supplements to this prospectus, and you should not consider that information to be part of this prospectus or any supplements to this 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_033"/>
      <w:bookmarkEnd w:id="47"/>
      <w:r>
        <w:rPr>
          <w:rFonts w:ascii="Times New Roman;Times;Serif" w:hAnsi="Times New Roman;Times;Serif"/>
          <w:b/>
          <w:i w:val="false"/>
          <w:caps w:val="false"/>
          <w:smallCaps w:val="false"/>
          <w:sz w:val="20"/>
        </w:rPr>
        <w:t>INCORPORATION OF CERTAIN INFORMATION BY REFERENCE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the initial registration statement and prior to effectiveness of the registration statement, and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our filings listed below and any future filings that we may file with the SEC under Section 13(a), 13(c), 14 or 15(d) of the Exchange Act, subsequent to the date of the initial registration statement and prior to effectiveness of the registration statement, and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the initial registration statement will automatically update and may supersede information in this prospectus, any accompanying prospectus supplement and information previously filed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shd w:fill="FFFFFF" w:val="clear"/>
        <w:bidi w:val="0"/>
        <w:spacing w:before="0" w:after="0"/>
        <w:ind w:left="1210" w:right="0" w:hanging="36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105"/>
        <w:gridCol w:w="200"/>
        <w:gridCol w:w="8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pPr>
            <w:r>
              <w:rPr>
                <w:sz w:val="20"/>
              </w:rPr>
              <w:t xml:space="preserve">Annual Report on </w:t>
            </w:r>
            <w:hyperlink r:id="rId35">
              <w:r>
                <w:rPr>
                  <w:rStyle w:val="InternetLink"/>
                  <w:sz w:val="20"/>
                </w:rPr>
                <w:t>Form 10-K</w:t>
              </w:r>
            </w:hyperlink>
            <w:r>
              <w:rPr>
                <w:sz w:val="20"/>
              </w:rPr>
              <w:t xml:space="preserve"> for the fiscal year ended February 28, 2025 filed with the SEC on May 7, 2025;</w:t>
            </w:r>
          </w:p>
        </w:tc>
      </w:tr>
    </w:tbl>
    <w:p>
      <w:pPr>
        <w:pStyle w:val="TextBody"/>
        <w:shd w:fill="FFFFFF" w:val="clear"/>
        <w:bidi w:val="0"/>
        <w:spacing w:before="0" w:after="0"/>
        <w:ind w:left="12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Quarterly Report on </w:t>
            </w:r>
            <w:hyperlink r:id="rId36">
              <w:r>
                <w:rPr>
                  <w:rStyle w:val="InternetLink"/>
                </w:rPr>
                <w:t>Form 10-Q</w:t>
              </w:r>
            </w:hyperlink>
            <w:r>
              <w:rPr/>
              <w:t xml:space="preserve"> for the fiscal quarter ended May 31, 2025 filed with the SEC on July 8, 2025;</w:t>
            </w:r>
          </w:p>
        </w:tc>
      </w:tr>
    </w:tbl>
    <w:p>
      <w:pPr>
        <w:pStyle w:val="TextBody"/>
        <w:shd w:fill="FFFFFF" w:val="clear"/>
        <w:bidi w:val="0"/>
        <w:spacing w:before="0" w:after="0"/>
        <w:ind w:left="12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Quarterly Report on </w:t>
            </w:r>
            <w:hyperlink r:id="rId37">
              <w:r>
                <w:rPr>
                  <w:rStyle w:val="InternetLink"/>
                </w:rPr>
                <w:t>Form 10-Q</w:t>
              </w:r>
            </w:hyperlink>
            <w:r>
              <w:rPr/>
              <w:t xml:space="preserve"> for the fiscal quarter ended August 31, 2025 filed with the SEC on October 7, 2025;</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Quarterly Report on </w:t>
            </w:r>
            <w:hyperlink r:id="rId38">
              <w:r>
                <w:rPr>
                  <w:rStyle w:val="InternetLink"/>
                </w:rPr>
                <w:t>Form 10-Q</w:t>
              </w:r>
            </w:hyperlink>
            <w:r>
              <w:rPr/>
              <w:t xml:space="preserve"> for the fiscal quarter ended November 30, 2025 filed with the SEC on January 7, 2026;</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Current Reports on Form 8-K filed on </w:t>
            </w:r>
            <w:hyperlink r:id="rId39">
              <w:r>
                <w:rPr>
                  <w:rStyle w:val="InternetLink"/>
                </w:rPr>
                <w:t>September 26, 2025</w:t>
              </w:r>
            </w:hyperlink>
            <w:r>
              <w:rPr/>
              <w:t xml:space="preserve"> and </w:t>
            </w:r>
            <w:hyperlink r:id="rId40">
              <w:r>
                <w:rPr>
                  <w:rStyle w:val="InternetLink"/>
                </w:rPr>
                <w:t>November 7, 2025</w:t>
              </w:r>
            </w:hyperlink>
            <w:r>
              <w:rPr/>
              <w:t>; and</w:t>
            </w:r>
          </w:p>
        </w:tc>
      </w:tr>
    </w:tbl>
    <w:p>
      <w:pPr>
        <w:pStyle w:val="TextBody"/>
        <w:shd w:fill="FFFFFF" w:val="clear"/>
        <w:bidi w:val="0"/>
        <w:spacing w:before="0" w:after="0"/>
        <w:ind w:left="121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description of our common stock contained in </w:t>
            </w:r>
            <w:hyperlink r:id="rId41">
              <w:r>
                <w:rPr>
                  <w:rStyle w:val="InternetLink"/>
                </w:rPr>
                <w:t>Exhibit 4.24</w:t>
              </w:r>
            </w:hyperlink>
            <w:r>
              <w:rPr/>
              <w:t xml:space="preserve"> of our Annual Report on </w:t>
            </w:r>
            <w:hyperlink r:id="rId42">
              <w:r>
                <w:rPr>
                  <w:rStyle w:val="InternetLink"/>
                </w:rPr>
                <w:t>Form 10-K</w:t>
              </w:r>
            </w:hyperlink>
            <w:r>
              <w:rPr/>
              <w:t xml:space="preserve"> for the year ended February 28, 2023, which updated the description thereof in our Registration Statement on </w:t>
            </w:r>
            <w:hyperlink r:id="rId43">
              <w:r>
                <w:rPr>
                  <w:rStyle w:val="InternetLink"/>
                </w:rPr>
                <w:t>Form 8-A</w:t>
              </w:r>
            </w:hyperlink>
            <w:r>
              <w:rPr/>
              <w:t> (File No. 001-33376), as filed with the SEC on March 21, 2007, including any amendment or report filed for the purpose of updating such description prior to the termination of the offering of the common stock registered hereby.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Saratoga Investment Corp.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Madison Avenue, 4th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906-7800</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667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4"/>
                    <a:stretch>
                      <a:fillRect/>
                    </a:stretch>
                  </pic:blipFill>
                  <pic:spPr bwMode="auto">
                    <a:xfrm>
                      <a:off x="0" y="0"/>
                      <a:ext cx="466725" cy="476250"/>
                    </a:xfrm>
                    <a:prstGeom prst="rect">
                      <a:avLst/>
                    </a:prstGeom>
                  </pic:spPr>
                </pic:pic>
              </a:graphicData>
            </a:graphic>
          </wp:inline>
        </w:drawing>
      </w:r>
      <w:r>
        <w:rPr>
          <w:caps w:val="false"/>
          <w:smallCaps w:val="false"/>
        </w:rPr>
        <w:drawing>
          <wp:inline distT="0" distB="0" distL="0" distR="0">
            <wp:extent cx="204787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5"/>
                    <a:stretch>
                      <a:fillRect/>
                    </a:stretch>
                  </pic:blipFill>
                  <pic:spPr bwMode="auto">
                    <a:xfrm>
                      <a:off x="0" y="0"/>
                      <a:ext cx="2047875" cy="4762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$20,080,325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Notes due 2031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23, 2026</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Book-Running Managers</w:t>
      </w:r>
    </w:p>
    <w:tbl>
      <w:tblPr>
        <w:tblW w:w="4645" w:type="dxa"/>
        <w:jc w:val="left"/>
        <w:tblInd w:w="0" w:type="dxa"/>
        <w:tblLayout w:type="fixed"/>
        <w:tblCellMar>
          <w:top w:w="0" w:type="dxa"/>
          <w:left w:w="0" w:type="dxa"/>
          <w:bottom w:w="0" w:type="dxa"/>
          <w:right w:w="0" w:type="dxa"/>
        </w:tblCellMar>
      </w:tblPr>
      <w:tblGrid>
        <w:gridCol w:w="2390"/>
        <w:gridCol w:w="90"/>
        <w:gridCol w:w="2165"/>
      </w:tblGrid>
      <w:tr>
        <w:trPr/>
        <w:tc>
          <w:tcPr>
            <w:tcW w:w="2390" w:type="dxa"/>
            <w:tcBorders/>
            <w:vAlign w:val="center"/>
          </w:tcPr>
          <w:p>
            <w:pPr>
              <w:pStyle w:val="TableContents"/>
              <w:bidi w:val="0"/>
              <w:spacing w:before="0" w:after="283"/>
              <w:jc w:val="left"/>
              <w:rPr>
                <w:b/>
              </w:rPr>
            </w:pPr>
            <w:r>
              <w:rPr>
                <w:b/>
              </w:rPr>
              <w:t>Lucid Capital Markets</w:t>
            </w:r>
          </w:p>
        </w:tc>
        <w:tc>
          <w:tcPr>
            <w:tcW w:w="9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right"/>
              <w:rPr>
                <w:b/>
              </w:rPr>
            </w:pPr>
            <w:r>
              <w:rPr>
                <w:b/>
              </w:rPr>
              <w:t>Oppenheimer &amp; Co.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77936/000121390026052176/ea0283348-10k_saratoga.htm" TargetMode="External"/><Relationship Id="rId5" Type="http://schemas.openxmlformats.org/officeDocument/2006/relationships/hyperlink" Target="https://www.sec.gov/ix?doc=/Archives/edgar/data/1377936/000121390026075931/ea0295366-10q_saratoga.htm" TargetMode="External"/><Relationship Id="rId6" Type="http://schemas.openxmlformats.org/officeDocument/2006/relationships/hyperlink" Target="https://www.sec.gov/ix?doc=/Archives/edgar/data/1377936/000121390026027678/ea0281222-8k_saratoga.htm" TargetMode="External"/><Relationship Id="rId7" Type="http://schemas.openxmlformats.org/officeDocument/2006/relationships/hyperlink" Target="https://www.sec.gov/ix?doc=/Archives/edgar/data/1377936/000121390026043547/ea0286311-8k_saratoga.htm" TargetMode="External"/><Relationship Id="rId8" Type="http://schemas.openxmlformats.org/officeDocument/2006/relationships/hyperlink" Target="https://www.sec.gov/ix?doc=/Archives/edgar/data/1377936/000121390026085846/ea0300762-8k_saratoga.htm" TargetMode="External"/><Relationship Id="rId9" Type="http://schemas.openxmlformats.org/officeDocument/2006/relationships/hyperlink" Target="https://www.sec.gov/ix?doc=/Archives/edgar/data/0001377936/000121390026091736/ea0302697-8k_saratoga.htm" TargetMode="External"/><Relationship Id="rId10" Type="http://schemas.openxmlformats.org/officeDocument/2006/relationships/hyperlink" Target="https://www.sec.gov/ix?doc=/Archives/edgar/data/0001377936/000121390026093812/ea0303350-8k_saratoga.htm" TargetMode="External"/><Relationship Id="rId11" Type="http://schemas.openxmlformats.org/officeDocument/2006/relationships/hyperlink" Target="https://www.sec.gov/ix?doc=/Archives/edgar/data/0001377936/000121390026101407/ea0306016-8k_saratoga.htm" TargetMode="External"/><Relationship Id="rId12" Type="http://schemas.openxmlformats.org/officeDocument/2006/relationships/hyperlink" Target="http://www.sec.gov/Archives/edgar/data/1377936/000121390025040617/ea0235536-10k_saratoga.htm" TargetMode="External"/><Relationship Id="rId13" Type="http://schemas.openxmlformats.org/officeDocument/2006/relationships/hyperlink" Target="http://www.sec.gov/Archives/edgar/data/1377936/000121390025040617/ea0235536-10k_saratoga.htm" TargetMode="External"/><Relationship Id="rId14" Type="http://schemas.openxmlformats.org/officeDocument/2006/relationships/hyperlink" Target="http://www.sec.gov/Archives/edgar/data/1377936/000121390026002153/ea0270446-10q_saratoga.htm" TargetMode="External"/><Relationship Id="rId15" Type="http://schemas.openxmlformats.org/officeDocument/2006/relationships/hyperlink" Target="http://www.sec.gov/Archives/edgar/data/1377936/000121390025040617/ea0235536-10k_saratoga.htm" TargetMode="External"/><Relationship Id="rId16" Type="http://schemas.openxmlformats.org/officeDocument/2006/relationships/hyperlink" Target="http://www.sec.gov/Archives/edgar/data/1377936/000121390025040617/ea0235536-10k_saratoga.htm" TargetMode="External"/><Relationship Id="rId17" Type="http://schemas.openxmlformats.org/officeDocument/2006/relationships/hyperlink" Target="http://www.sec.gov/Archives/edgar/data/1377936/000121390025040617/ea0235536-10k_saratoga.htm" TargetMode="External"/><Relationship Id="rId18" Type="http://schemas.openxmlformats.org/officeDocument/2006/relationships/hyperlink" Target="http://www.sec.gov/Archives/edgar/data/1377936/000121390026002153/ea0270446-10q_saratoga.htm" TargetMode="External"/><Relationship Id="rId19" Type="http://schemas.openxmlformats.org/officeDocument/2006/relationships/hyperlink" Target="http://www.sec.gov/Archives/edgar/data/1377936/000121390025040617/ea0235536-10k_saratoga.htm" TargetMode="External"/><Relationship Id="rId20" Type="http://schemas.openxmlformats.org/officeDocument/2006/relationships/hyperlink" Target="http://www.sec.gov/Archives/edgar/data/1377936/000121390026002153/ea0270446-10q_saratoga.htm" TargetMode="External"/><Relationship Id="rId21" Type="http://schemas.openxmlformats.org/officeDocument/2006/relationships/hyperlink" Target="http://www.sec.gov/Archives/edgar/data/1377936/000121390025040617/ea0235536-10k_saratoga.htm" TargetMode="External"/><Relationship Id="rId22" Type="http://schemas.openxmlformats.org/officeDocument/2006/relationships/hyperlink" Target="https://www.sec.gov/ix?doc=/Archives/edgar/data/0001377936/000121390026002153/ea0270446-10q_saratoga.htm" TargetMode="External"/><Relationship Id="rId23" Type="http://schemas.openxmlformats.org/officeDocument/2006/relationships/hyperlink" Target="http://www.sec.gov/Archives/edgar/data/1377936/000121390025040617/ea0235536-10k_saratoga.htm" TargetMode="External"/><Relationship Id="rId24" Type="http://schemas.openxmlformats.org/officeDocument/2006/relationships/hyperlink" Target="http://www.sec.gov/Archives/edgar/data/1377936/000121390025040617/ea0235536-10k_saratoga.htm" TargetMode="External"/><Relationship Id="rId25" Type="http://schemas.openxmlformats.org/officeDocument/2006/relationships/hyperlink" Target="https://www.sec.gov/ix?doc=/Archives/edgar/data/0001377936/000121390026002153/ea0270446-10q_saratoga.htm" TargetMode="External"/><Relationship Id="rId26" Type="http://schemas.openxmlformats.org/officeDocument/2006/relationships/hyperlink" Target="http://www.sec.gov/Archives/edgar/data/1377936/000121390025040617/ea0235536-10k_saratoga.htm" TargetMode="External"/><Relationship Id="rId27" Type="http://schemas.openxmlformats.org/officeDocument/2006/relationships/hyperlink" Target="http://www.sec.gov/Archives/edgar/data/1377936/000121390025040617/ea0235536-10k_saratoga.htm" TargetMode="External"/><Relationship Id="rId28" Type="http://schemas.openxmlformats.org/officeDocument/2006/relationships/hyperlink" Target="http://www.sec.gov/Archives/edgar/data/1377936/000121390025040617/ea0235536-10k_saratoga.htm" TargetMode="External"/><Relationship Id="rId29" Type="http://schemas.openxmlformats.org/officeDocument/2006/relationships/hyperlink" Target="http://www.sec.gov/Archives/edgar/data/1377936/000121390026002153/ea0270446-10q_saratoga.htm" TargetMode="External"/><Relationship Id="rId30" Type="http://schemas.openxmlformats.org/officeDocument/2006/relationships/hyperlink" Target="http://www.sec.gov/Archives/edgar/data/1377936/000121390025071844/ea0251731-01.htm" TargetMode="External"/><Relationship Id="rId31" Type="http://schemas.openxmlformats.org/officeDocument/2006/relationships/hyperlink" Target="http://www.sec.gov/Archives/edgar/data/1377936/000121390025040617/ea0235536-10k_saratoga.htm" TargetMode="External"/><Relationship Id="rId32" Type="http://schemas.openxmlformats.org/officeDocument/2006/relationships/hyperlink" Target="http://www.sec.gov/Archives/edgar/data/1377936/000121390025040617/ea0235536-10k_saratoga.htm" TargetMode="External"/><Relationship Id="rId33" Type="http://schemas.openxmlformats.org/officeDocument/2006/relationships/hyperlink" Target="http://www.sec.gov/Archives/edgar/data/1377936/000121390025040617/ea0235536-10k_saratoga.htm" TargetMode="External"/><Relationship Id="rId34" Type="http://schemas.openxmlformats.org/officeDocument/2006/relationships/hyperlink" Target="http://www.sec.gov/Archives/edgar/data/1377936/000121390025040617/ea0235536-10k_saratoga.htm" TargetMode="External"/><Relationship Id="rId35" Type="http://schemas.openxmlformats.org/officeDocument/2006/relationships/hyperlink" Target="https://www.sec.gov/ix?doc=/Archives/edgar/data/0001377936/000121390025040617/ea0235536-10k_saratoga.htm" TargetMode="External"/><Relationship Id="rId36" Type="http://schemas.openxmlformats.org/officeDocument/2006/relationships/hyperlink" Target="https://www.sec.gov/ix?doc=/Archives/edgar/data/0001377936/000121390025062051/ea0246449-10q_saratoga.htm" TargetMode="External"/><Relationship Id="rId37" Type="http://schemas.openxmlformats.org/officeDocument/2006/relationships/hyperlink" Target="http://www.sec.gov/Archives/edgar/data/1377936/000121390025097022/ea0258170-10q_saratoga.htm" TargetMode="External"/><Relationship Id="rId38" Type="http://schemas.openxmlformats.org/officeDocument/2006/relationships/hyperlink" Target="https://www.sec.gov/ix?doc=/Archives/edgar/data/0001377936/000121390026002153/ea0270446-10q_saratoga.htm" TargetMode="External"/><Relationship Id="rId39" Type="http://schemas.openxmlformats.org/officeDocument/2006/relationships/hyperlink" Target="https://www.sec.gov/ix?doc=/Archives/edgar/data/0001377936/000121390025091767/ea0258856-8k_saratoga.htm" TargetMode="External"/><Relationship Id="rId40" Type="http://schemas.openxmlformats.org/officeDocument/2006/relationships/hyperlink" Target="https://www.sec.gov/ix?doc=/Archives/edgar/data/0001377936/000121390025107282/ea0264440-8k_saratoga.htm" TargetMode="External"/><Relationship Id="rId41" Type="http://schemas.openxmlformats.org/officeDocument/2006/relationships/hyperlink" Target="https://www.sec.gov/Archives/edgar/data/1377936/000121390023035521/f10k2023ex4-24_saratoga.htm" TargetMode="External"/><Relationship Id="rId42" Type="http://schemas.openxmlformats.org/officeDocument/2006/relationships/hyperlink" Target="https://www.sec.gov/ix?doc=/Archives/edgar/data/1377936/000121390023035521/f10k2023_saratoga.htm" TargetMode="External"/><Relationship Id="rId43" Type="http://schemas.openxmlformats.org/officeDocument/2006/relationships/hyperlink" Target="http://www.sec.gov/Archives/edgar/data/1377936/000095012307004223/y309238ae8va12b.htm" TargetMode="External"/><Relationship Id="rId44" Type="http://schemas.openxmlformats.org/officeDocument/2006/relationships/image" Target="media/image1.jpeg"/><Relationship Id="rId45" Type="http://schemas.openxmlformats.org/officeDocument/2006/relationships/image" Target="media/image2.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74502</Words>
  <Characters>388038</Characters>
  <CharactersWithSpaces>465369</CharactersWithSpaces>
  <Paragraphs>11701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