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001-33376</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5552" w:type="dxa"/>
                    <w:jc w:val="center"/>
                    <w:tblInd w:w="0" w:type="dxa"/>
                    <w:tblLayout w:type="fixed"/>
                    <w:tblCellMar>
                      <w:top w:w="28" w:type="dxa"/>
                      <w:left w:w="28" w:type="dxa"/>
                      <w:bottom w:w="28" w:type="dxa"/>
                      <w:right w:w="28" w:type="dxa"/>
                    </w:tblCellMar>
                  </w:tblPr>
                  <w:tblGrid>
                    <w:gridCol w:w="1261"/>
                    <w:gridCol w:w="429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4291" w:type="dxa"/>
                        <w:tcBorders/>
                        <w:vAlign w:val="center"/>
                      </w:tcPr>
                      <w:p>
                        <w:pPr>
                          <w:pStyle w:val="TableContents"/>
                          <w:bidi w:val="0"/>
                          <w:spacing w:before="0" w:after="283"/>
                          <w:jc w:val="left"/>
                          <w:rPr/>
                        </w:pPr>
                        <w:hyperlink r:id="rId3">
                          <w:r>
                            <w:rPr>
                              <w:rStyle w:val="InternetLink"/>
                            </w:rPr>
                            <w:t>SARATOGA INVESTMENT CORP.</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42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 STOCK EXCHANGE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209" w:type="dxa"/>
                    <w:jc w:val="center"/>
                    <w:tblInd w:w="0" w:type="dxa"/>
                    <w:tblLayout w:type="fixed"/>
                    <w:tblCellMar>
                      <w:top w:w="28" w:type="dxa"/>
                      <w:left w:w="28" w:type="dxa"/>
                      <w:bottom w:w="28" w:type="dxa"/>
                      <w:right w:w="28" w:type="dxa"/>
                    </w:tblCellMar>
                  </w:tblPr>
                  <w:tblGrid>
                    <w:gridCol w:w="2206"/>
                    <w:gridCol w:w="1126"/>
                    <w:gridCol w:w="1426"/>
                    <w:gridCol w:w="706"/>
                    <w:gridCol w:w="109"/>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36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535 Madison Avenue</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4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c>
                      <w:tcPr>
                        <w:tcW w:w="109"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367"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(212) 750-3343</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 Notes due 2027</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NEW YORK STOCK EXCHANGE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2026-09-18</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Anthony Sozzi</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Analyst, Market Watch</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TextBody"/>
        <w:bidi w:val="0"/>
        <w:spacing w:before="0" w:after="283"/>
        <w:jc w:val="left"/>
        <w:rPr/>
      </w:pPr>
      <w:bookmarkStart w:id="5" w:name="ruleprovisionnotice.htm"/>
      <w:bookmarkStart w:id="6" w:name="ksruleprovisionnotice"/>
      <w:bookmarkEnd w:id="5"/>
      <w:bookmarkEnd w:id="6"/>
      <w:r>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September 29, 2026, pursuant to the provisions of Rule 12d2-2 (a). [ X ] 17 CFR 240.12d2-2(a)(1) That the entire class of this security was called for redemption, maturity or retirement on September 18, 2026; appropriate notice thereof was given; funds sufficient for the payment of all such securities were deposited with an agency authorized to make such payment; and such funds were made available to security holders on September 18, 2026. The Exchange also notifies the Securities and Exchange Commission that as a result of the above indicated conditions this security was suspended from trading on September 18, 2026.</w:t>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3376" TargetMode="External"/><Relationship Id="rId3" Type="http://schemas.openxmlformats.org/officeDocument/2006/relationships/hyperlink" Target="http://www.sec.gov/cgi-bin/browse-edgar?action=getcompany&amp;CIK=0001377936"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472</Words>
  <Characters>2541</Characters>
  <CharactersWithSpaces>2975</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