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350-8k_saratoga.htm"/>
      <w:bookmarkStart w:id="1" w:name="ksea03033508k_saratog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4_edei--DocumentType_c20260826__20"/>
      <w:bookmarkEnd w:id="2"/>
      <w:r>
        <w:rPr>
          <w:rFonts w:ascii="Times New Roman;Times;Serif" w:hAnsi="Times New Roman;Times;Serif"/>
          <w:b/>
          <w:i w:val="false"/>
          <w:caps w:val="false"/>
          <w:smallCaps w:val="false"/>
          <w:sz w:val="20"/>
        </w:rPr>
        <w:t xml:space="preserve">8-K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26,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Charter)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E_edei--EntityFileNumber_c20260826"/>
            <w:bookmarkEnd w:id="6"/>
            <w:r>
              <w:rPr>
                <w:b/>
                <w:sz w:val="20"/>
              </w:rPr>
              <w:t>814-00732</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20-8700615</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283"/>
        <w:jc w:val="left"/>
        <w:rPr/>
      </w:pPr>
      <w:r>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283"/>
              <w:jc w:val="center"/>
              <w:rPr/>
            </w:pPr>
            <w:bookmarkStart w:id="8" w:name="xdx_909_edei--EntityAddressAddressLine1_"/>
            <w:bookmarkEnd w:id="8"/>
            <w:r>
              <w:rPr>
                <w:b/>
              </w:rPr>
              <w:t>535 Madison Avenue</w:t>
            </w:r>
            <w:r>
              <w:rPr/>
              <w:t xml:space="preserve"> </w:t>
            </w:r>
            <w:r>
              <w:rPr>
                <w:b/>
              </w:rPr>
              <w:br/>
            </w:r>
            <w:bookmarkStart w:id="9" w:name="xdx_909_edei--EntityAddressCityOrTown_c2"/>
            <w:bookmarkEnd w:id="9"/>
            <w:r>
              <w:rPr>
                <w:b/>
              </w:rPr>
              <w:t xml:space="preserve">New York, </w:t>
            </w:r>
            <w:bookmarkStart w:id="10" w:name="xdx_901_edei--EntityAddressStateOrProvin"/>
            <w:bookmarkEnd w:id="10"/>
            <w:r>
              <w:rPr>
                <w:b/>
              </w:rPr>
              <w:t>New York</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rPr>
            </w:pPr>
            <w:bookmarkStart w:id="11" w:name="xdx_908_edei--EntityAddressPostalZipCode"/>
            <w:bookmarkEnd w:id="11"/>
            <w:r>
              <w:rPr>
                <w:b/>
              </w:rPr>
              <w:t>10022</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8_edei--CityAreaCode_c20260826__20"/>
      <w:bookmarkEnd w:id="12"/>
      <w:r>
        <w:rPr>
          <w:rFonts w:ascii="Times New Roman;Times;Serif" w:hAnsi="Times New Roman;Times;Serif"/>
          <w:b/>
          <w:i w:val="false"/>
          <w:caps w:val="false"/>
          <w:smallCaps w:val="false"/>
          <w:sz w:val="20"/>
        </w:rPr>
        <w:t xml:space="preserve">212) </w:t>
      </w:r>
      <w:bookmarkStart w:id="13" w:name="xdx_90F_edei--LocalPhoneNumber_c20260826"/>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96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7_edei--SolicitingMaterial_c202608"/>
            <w:bookmarkEnd w:id="15"/>
            <w:r>
              <w:rPr/>
              <w:t>☐</w:t>
            </w:r>
          </w:p>
        </w:tc>
        <w:tc>
          <w:tcPr>
            <w:tcW w:w="996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E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960"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155" w:type="dxa"/>
        <w:jc w:val="left"/>
        <w:tblInd w:w="0" w:type="dxa"/>
        <w:tblLayout w:type="fixed"/>
        <w:tblCellMar>
          <w:top w:w="0" w:type="dxa"/>
          <w:left w:w="0" w:type="dxa"/>
          <w:bottom w:w="28" w:type="dxa"/>
          <w:right w:w="0" w:type="dxa"/>
        </w:tblCellMar>
      </w:tblPr>
      <w:tblGrid>
        <w:gridCol w:w="3680"/>
        <w:gridCol w:w="60"/>
        <w:gridCol w:w="1880"/>
        <w:gridCol w:w="60"/>
        <w:gridCol w:w="4475"/>
      </w:tblGrid>
      <w:tr>
        <w:trPr/>
        <w:tc>
          <w:tcPr>
            <w:tcW w:w="36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18" w:name="xdx_902_edei--Security12bTitle_c20260826"/>
            <w:bookmarkEnd w:id="18"/>
            <w:r>
              <w:rPr>
                <w:b/>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19" w:name="xdx_90B_edei--TradingSymbol_c20260826__2"/>
            <w:bookmarkEnd w:id="19"/>
            <w:r>
              <w:rPr>
                <w:b/>
                <w:sz w:val="20"/>
              </w:rPr>
              <w:t>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0" w:name="xdx_906_edei--SecurityExchangeName_c2026"/>
            <w:bookmarkEnd w:id="20"/>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1" w:name="xdx_907_edei--Security12bTitle_c20260826"/>
            <w:bookmarkEnd w:id="21"/>
            <w:r>
              <w:rPr>
                <w:b/>
                <w:sz w:val="20"/>
              </w:rPr>
              <w:t>6.00%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2" w:name="xdx_90E_edei--TradingSymbol_c20260826__2"/>
            <w:bookmarkEnd w:id="22"/>
            <w:r>
              <w:rPr>
                <w:b/>
                <w:sz w:val="20"/>
              </w:rPr>
              <w:t>SAT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3" w:name="xdx_906_edei--SecurityExchangeName_c2026"/>
            <w:bookmarkEnd w:id="23"/>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24" w:name="xdx_901_edei--Security12bTitle_c20260826"/>
            <w:bookmarkEnd w:id="24"/>
            <w:r>
              <w:rPr>
                <w:b/>
                <w:sz w:val="20"/>
              </w:rPr>
              <w:t>8.00% Notes due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25" w:name="xdx_909_edei--TradingSymbol_c20260826__2"/>
            <w:bookmarkEnd w:id="25"/>
            <w:r>
              <w:rPr>
                <w:b/>
                <w:sz w:val="20"/>
              </w:rPr>
              <w:t>SAJ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6" w:name="xdx_90F_edei--SecurityExchangeName_c2026"/>
            <w:bookmarkEnd w:id="26"/>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7" w:name="xdx_902_edei--Security12bTitle_c20260826"/>
            <w:bookmarkEnd w:id="27"/>
            <w:r>
              <w:rPr>
                <w:b/>
                <w:sz w:val="20"/>
              </w:rPr>
              <w:t>8.125%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8" w:name="xdx_908_edei--TradingSymbol_c20260826__2"/>
            <w:bookmarkEnd w:id="28"/>
            <w:r>
              <w:rPr>
                <w:b/>
                <w:sz w:val="20"/>
              </w:rPr>
              <w:t>SAY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9" w:name="xdx_90C_edei--SecurityExchangeName_c2026"/>
            <w:bookmarkEnd w:id="29"/>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30" w:name="xdx_909_edei--Security12bTitle_c20260826"/>
            <w:bookmarkEnd w:id="30"/>
            <w:r>
              <w:rPr>
                <w:b/>
                <w:sz w:val="20"/>
              </w:rPr>
              <w:t>8.50% Notes due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31" w:name="xdx_906_edei--TradingSymbol_c20260826__2"/>
            <w:bookmarkEnd w:id="31"/>
            <w:r>
              <w:rPr>
                <w:b/>
                <w:sz w:val="20"/>
              </w:rPr>
              <w:t>SAZ</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32" w:name="xdx_906_edei--SecurityExchangeName_c2026"/>
            <w:bookmarkEnd w:id="32"/>
            <w:r>
              <w:rPr>
                <w:b/>
                <w:sz w:val="20"/>
              </w:rPr>
              <w:t xml:space="preserve">New York Stock Exchange </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33" w:name="xdx_90B_edei--Security12bTitle_c20260826"/>
            <w:bookmarkEnd w:id="33"/>
            <w:r>
              <w:rPr>
                <w:b/>
                <w:sz w:val="20"/>
              </w:rPr>
              <w:t>7.50% Notes due 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34" w:name="xdx_900_edei--TradingSymbol_c20260826__2"/>
            <w:bookmarkEnd w:id="34"/>
            <w:r>
              <w:rPr>
                <w:b/>
                <w:sz w:val="20"/>
              </w:rPr>
              <w:t>SAV</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35" w:name="xdx_909_edei--SecurityExchangeName_c2026"/>
            <w:bookmarkEnd w:id="35"/>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6" w:name="xdx_909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previously announced public offering, on August 26, 2026, Saratoga Investment Corp. (the “Company”) and U.S. Bank Trust Company, National Association, as trustee (as successor in interest to U.S. Bank National Association) (the “Trustee”), entered into an Eighteenth Supplemental Indenture (the “Eighteenth Supplemental Indenture”) to the Base Indenture, dated May 10, 2013, by and between the Company and the Trustee (the “Base Indenture”; and together with the Eighteenth Supplemental Indenture, the “Indenture”). The Eighteenth Supplemental Indenture relates to the Company’s issuance and sale of $85.0 million in aggregate principal amount of the Company’s 8.00% Notes due 2031 (the “Notes” and the issuance and sale of the Notes, the “Offering”).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bear interest at a rate of 8.00% per year, payable quarterly on February 28, May 31, August 31, and November 30 of each year, beginning November 30, 2026. </w:t>
      </w:r>
      <w:r>
        <w:rPr>
          <w:rFonts w:ascii="Times New Roman;Times;Serif" w:hAnsi="Times New Roman;Times;Serif"/>
          <w:b w:val="false"/>
          <w:i w:val="false"/>
          <w:caps w:val="false"/>
          <w:smallCaps w:val="false"/>
          <w:sz w:val="20"/>
          <w:shd w:fill="FFFFFF" w:val="clear"/>
        </w:rPr>
        <w:t xml:space="preserve">The Notes will mature on </w:t>
      </w:r>
      <w:r>
        <w:rPr>
          <w:rFonts w:ascii="Times New Roman;Times;Serif" w:hAnsi="Times New Roman;Times;Serif"/>
          <w:b w:val="false"/>
          <w:i w:val="false"/>
          <w:caps w:val="false"/>
          <w:smallCaps w:val="false"/>
          <w:sz w:val="20"/>
        </w:rPr>
        <w:t xml:space="preserve">August 31, 2031 </w:t>
      </w:r>
      <w:r>
        <w:rPr>
          <w:rFonts w:ascii="Times New Roman;Times;Serif" w:hAnsi="Times New Roman;Times;Serif"/>
          <w:b w:val="false"/>
          <w:i w:val="false"/>
          <w:caps w:val="false"/>
          <w:smallCaps w:val="false"/>
          <w:sz w:val="20"/>
          <w:shd w:fill="FFFFFF" w:val="clear"/>
        </w:rPr>
        <w:t xml:space="preserve">and may be redeemed at the Company’s option, in whole or in part at any time, or from time to time on or after </w:t>
      </w:r>
      <w:r>
        <w:rPr>
          <w:rFonts w:ascii="Times New Roman;Times;Serif" w:hAnsi="Times New Roman;Times;Serif"/>
          <w:b w:val="false"/>
          <w:i w:val="false"/>
          <w:caps w:val="false"/>
          <w:smallCaps w:val="false"/>
          <w:sz w:val="20"/>
        </w:rPr>
        <w:t>August 26, 2028</w:t>
      </w:r>
      <w:r>
        <w:rPr>
          <w:rFonts w:ascii="Times New Roman;Times;Serif" w:hAnsi="Times New Roman;Times;Serif"/>
          <w:b w:val="false"/>
          <w:i w:val="false"/>
          <w:caps w:val="false"/>
          <w:smallCaps w:val="false"/>
          <w:sz w:val="20"/>
          <w:shd w:fill="FFFFFF" w:val="clear"/>
        </w:rPr>
        <w:t>, at the redemption price of par, plus accrued and unpaid interest.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intends to use the net proceeds from the Offering and available cash to redeem in full the Company’s outstanding 6.00% notes due 2027.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are the direct unsecured obligations of the Company and rank pari passu with all </w:t>
      </w:r>
      <w:r>
        <w:rPr>
          <w:rFonts w:ascii="Times New Roman;Times;Serif" w:hAnsi="Times New Roman;Times;Serif"/>
          <w:b w:val="false"/>
          <w:i w:val="false"/>
          <w:caps w:val="false"/>
          <w:smallCaps w:val="false"/>
          <w:sz w:val="20"/>
          <w:shd w:fill="FFFFFF" w:val="clear"/>
        </w:rPr>
        <w:t xml:space="preserve">existing and future unsecured, unsubordinated indebtedness issued by the Company, </w:t>
      </w:r>
      <w:r>
        <w:rPr>
          <w:rFonts w:ascii="Times New Roman;Times;Serif" w:hAnsi="Times New Roman;Times;Serif"/>
          <w:b w:val="false"/>
          <w:i w:val="false"/>
          <w:caps w:val="false"/>
          <w:smallCaps w:val="false"/>
          <w:sz w:val="20"/>
        </w:rPr>
        <w:t>senior to any of the Company’s future indebtedness that expressly provides it is subordinated to the Notes, effectively subordinated to all of the existing and future secured indebtedness issued by the Company (including indebtedness that is initially unsecured in respect of which the Company subsequently grants security), to the extent of the value of the assets securing such indebtedness, and structurally subordinated to all existing and future indebtedness and other obligations of any of the Company’s subsidiaries, including, without limitation, our special purpose vehicle financing credit facility with Live Oak Banking Company, our special purpose vehicle financing credit facility with Valley National Bank, and the debentures guaranteed by the U.S. Small Business Administration.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including certain covenants requiring the Company to comply with Section 18(a)(1)(A) as modified by Section 61(a)(2) of the Investment Company Act of 1940, as amended (the “1940 Act”), or any successor provisions, whether or not the Company continues to be subject to such provisions of the 1940 Act, but giving effect, in either case, to any exemptive relief granted to the Company by the U.S. Securities and Exchange Commission (the “SEC”), to comply with Section 18(a)(1)(B) as modified by Section 61(a)(2) of the 1940 Act, or any successor provisions, after giving effect to any exemptive relief granted to the Company by the SEC and subject to certain other exceptions,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effective shelf registration statement on Form N-2 (File No. 333-292765) previously filed with the SEC, as supplemented by a preliminary prospectus supplement dated August 18, 2026, the pricing term sheet filed with the SEC on August 18, 2026, and a final prospectus supplement dated August 18, 2026. The transaction closed on August 26, 2026. The net proceeds to the Company were approximately $82,043,750, based on a public offering price of 100% of par, after deducting the underwriting discount of $2,656,250 and the estimated offering expenses of approximately $300,000 payable by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Eighteenth Supplemental Indenture and the Notes do not purport to be complete and are qualified in their entirety by reference to the full text of the Eighteenth Supplemental Indenture and the form of global note representing the Notes, respectively, which is filed as Exhibits 4.2 and 4.3 hereto, respectively,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2.03 contained in Item 1.01 of this Current Report on Form 8-K is incorporated herein by reference.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1"/>
        <w:gridCol w:w="60"/>
        <w:gridCol w:w="9354"/>
      </w:tblGrid>
      <w:tr>
        <w:trPr/>
        <w:tc>
          <w:tcPr>
            <w:tcW w:w="791"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54"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91"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both"/>
              <w:rPr/>
            </w:pPr>
            <w:hyperlink r:id="rId2">
              <w:r>
                <w:rPr>
                  <w:rStyle w:val="InternetLink"/>
                  <w:sz w:val="20"/>
                </w:rPr>
                <w:t>Form of Indenture by and between Saratoga Investment Corp. and U.S. Bank National Association, as trustee (Incorporated by reference to Exhibit (d)(4) to Pre-Effective Amendment No. 2 to the Registration Statement on Form N-2 (File No. 333-186323) filed on April 30, 2013).</w:t>
              </w:r>
            </w:hyperlink>
          </w:p>
        </w:tc>
      </w:tr>
      <w:tr>
        <w:trPr/>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4" w:type="dxa"/>
            <w:tcBorders/>
            <w:shd w:fill="FFFFFF" w:val="clear"/>
            <w:tcMar>
              <w:bottom w:w="0" w:type="dxa"/>
            </w:tcMar>
            <w:vAlign w:val="center"/>
          </w:tcPr>
          <w:p>
            <w:pPr>
              <w:pStyle w:val="TableContents"/>
              <w:bidi w:val="0"/>
              <w:spacing w:before="0" w:after="283"/>
              <w:jc w:val="both"/>
              <w:rPr/>
            </w:pPr>
            <w:r>
              <w:rPr/>
              <w:t> </w:t>
            </w:r>
          </w:p>
        </w:tc>
      </w:tr>
      <w:tr>
        <w:trPr/>
        <w:tc>
          <w:tcPr>
            <w:tcW w:w="791"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both"/>
              <w:rPr/>
            </w:pPr>
            <w:hyperlink w:anchor="ea030335001ex4-2.htm">
              <w:r>
                <w:rPr>
                  <w:rStyle w:val="InternetLink"/>
                  <w:sz w:val="20"/>
                </w:rPr>
                <w:t>Eighteenth Supplemental Indenture, dated as of August 26, 2026, by and between Saratoga Investment Corp. and U.S. Bank Trust Company, National Association (as successor in interest to U.S. Bank National Association), as trustee.</w:t>
              </w:r>
            </w:hyperlink>
          </w:p>
        </w:tc>
      </w:tr>
      <w:tr>
        <w:trPr/>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4" w:type="dxa"/>
            <w:tcBorders/>
            <w:shd w:fill="FFFFFF" w:val="clear"/>
            <w:tcMar>
              <w:bottom w:w="0" w:type="dxa"/>
            </w:tcMar>
            <w:vAlign w:val="center"/>
          </w:tcPr>
          <w:p>
            <w:pPr>
              <w:pStyle w:val="TableContents"/>
              <w:bidi w:val="0"/>
              <w:spacing w:before="0" w:after="283"/>
              <w:jc w:val="both"/>
              <w:rPr/>
            </w:pPr>
            <w:r>
              <w:rPr/>
              <w:t> </w:t>
            </w:r>
          </w:p>
        </w:tc>
      </w:tr>
      <w:tr>
        <w:trPr/>
        <w:tc>
          <w:tcPr>
            <w:tcW w:w="791"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both"/>
              <w:rPr/>
            </w:pPr>
            <w:hyperlink w:anchor="ea030335001ex4-2.htm">
              <w:r>
                <w:rPr>
                  <w:rStyle w:val="InternetLink"/>
                  <w:sz w:val="20"/>
                </w:rPr>
                <w:t>Form of Global Note with respect to the 8.00% Notes due 2031 (Incorporated by reference to Exhibit 4.2 hereto).</w:t>
              </w:r>
            </w:hyperlink>
          </w:p>
        </w:tc>
      </w:tr>
      <w:tr>
        <w:trPr/>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4" w:type="dxa"/>
            <w:tcBorders/>
            <w:shd w:fill="FFFFFF" w:val="clear"/>
            <w:tcMar>
              <w:bottom w:w="0" w:type="dxa"/>
            </w:tcMar>
            <w:vAlign w:val="center"/>
          </w:tcPr>
          <w:p>
            <w:pPr>
              <w:pStyle w:val="TableContents"/>
              <w:bidi w:val="0"/>
              <w:spacing w:before="0" w:after="283"/>
              <w:jc w:val="both"/>
              <w:rPr/>
            </w:pPr>
            <w:r>
              <w:rPr/>
              <w:t> </w:t>
            </w:r>
          </w:p>
        </w:tc>
      </w:tr>
      <w:tr>
        <w:trPr/>
        <w:tc>
          <w:tcPr>
            <w:tcW w:w="791" w:type="dxa"/>
            <w:tcBorders/>
            <w:shd w:fill="CCEEFF" w:val="clear"/>
            <w:tcMar>
              <w:bottom w:w="0" w:type="dxa"/>
            </w:tcMar>
            <w:vAlign w:val="center"/>
          </w:tcPr>
          <w:p>
            <w:pPr>
              <w:pStyle w:val="TableContents"/>
              <w:bidi w:val="0"/>
              <w:spacing w:before="0" w:after="283"/>
              <w:jc w:val="left"/>
              <w:rPr/>
            </w:pPr>
            <w:r>
              <w:rPr/>
              <w:t>5.1  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left"/>
              <w:rPr/>
            </w:pPr>
            <w:hyperlink w:anchor="ea030335001ex5-1.htm">
              <w:r>
                <w:rPr>
                  <w:rStyle w:val="InternetLink"/>
                </w:rPr>
                <w:t xml:space="preserve">Opinion of Eversheds Sutherland (US) LLP. </w:t>
              </w:r>
            </w:hyperlink>
          </w:p>
        </w:tc>
      </w:tr>
      <w:tr>
        <w:trPr/>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4" w:type="dxa"/>
            <w:tcBorders/>
            <w:shd w:fill="FFFFFF" w:val="clear"/>
            <w:tcMar>
              <w:bottom w:w="0" w:type="dxa"/>
            </w:tcMar>
            <w:vAlign w:val="center"/>
          </w:tcPr>
          <w:p>
            <w:pPr>
              <w:pStyle w:val="TableContents"/>
              <w:bidi w:val="0"/>
              <w:spacing w:before="0" w:after="283"/>
              <w:jc w:val="left"/>
              <w:rPr/>
            </w:pPr>
            <w:r>
              <w:rPr/>
              <w:t> </w:t>
            </w:r>
          </w:p>
        </w:tc>
      </w:tr>
      <w:tr>
        <w:trPr/>
        <w:tc>
          <w:tcPr>
            <w:tcW w:w="791"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left"/>
              <w:rPr/>
            </w:pPr>
            <w:hyperlink w:anchor="ea030335001ex5-1.htm">
              <w:r>
                <w:rPr>
                  <w:rStyle w:val="InternetLink"/>
                </w:rPr>
                <w:t>Consent of Eversheds Sutherland (US) LLP (included in Exhibit 5.1 hereto).</w:t>
              </w:r>
            </w:hyperlink>
          </w:p>
        </w:tc>
      </w:tr>
      <w:tr>
        <w:trPr/>
        <w:tc>
          <w:tcPr>
            <w:tcW w:w="7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4" w:type="dxa"/>
            <w:tcBorders/>
            <w:shd w:fill="FFFFFF" w:val="clear"/>
            <w:tcMar>
              <w:bottom w:w="0" w:type="dxa"/>
            </w:tcMar>
            <w:vAlign w:val="center"/>
          </w:tcPr>
          <w:p>
            <w:pPr>
              <w:pStyle w:val="TableContents"/>
              <w:bidi w:val="0"/>
              <w:spacing w:before="0" w:after="283"/>
              <w:jc w:val="both"/>
              <w:rPr/>
            </w:pPr>
            <w:r>
              <w:rPr/>
              <w:t> </w:t>
            </w:r>
          </w:p>
        </w:tc>
      </w:tr>
      <w:tr>
        <w:trPr/>
        <w:tc>
          <w:tcPr>
            <w:tcW w:w="791"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54"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1865"/>
        <w:gridCol w:w="590"/>
        <w:gridCol w:w="6050"/>
      </w:tblGrid>
      <w:tr>
        <w:trPr/>
        <w:tc>
          <w:tcPr>
            <w:tcW w:w="1865" w:type="dxa"/>
            <w:tcBorders/>
            <w:vAlign w:val="center"/>
          </w:tcPr>
          <w:p>
            <w:pPr>
              <w:pStyle w:val="TableContents"/>
              <w:bidi w:val="0"/>
              <w:spacing w:before="0" w:after="283"/>
              <w:jc w:val="left"/>
              <w:rPr/>
            </w:pPr>
            <w:r>
              <w:rPr/>
              <w:t> </w:t>
            </w:r>
          </w:p>
        </w:tc>
        <w:tc>
          <w:tcPr>
            <w:tcW w:w="6640" w:type="dxa"/>
            <w:gridSpan w:val="2"/>
            <w:tcBorders/>
            <w:vAlign w:val="center"/>
          </w:tcPr>
          <w:p>
            <w:pPr>
              <w:pStyle w:val="TableContents"/>
              <w:bidi w:val="0"/>
              <w:spacing w:before="0" w:after="283"/>
              <w:jc w:val="left"/>
              <w:rPr>
                <w:sz w:val="20"/>
              </w:rPr>
            </w:pPr>
            <w:r>
              <w:rPr>
                <w:sz w:val="20"/>
              </w:rPr>
              <w:t>SARATOGA INVESTMENT CORP.</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26, 2026</w:t>
            </w:r>
          </w:p>
        </w:tc>
        <w:tc>
          <w:tcPr>
            <w:tcW w:w="590" w:type="dxa"/>
            <w:tcBorders/>
            <w:vAlign w:val="center"/>
          </w:tcPr>
          <w:p>
            <w:pPr>
              <w:pStyle w:val="TableContents"/>
              <w:bidi w:val="0"/>
              <w:spacing w:before="0" w:after="283"/>
              <w:jc w:val="left"/>
              <w:rPr>
                <w:sz w:val="20"/>
              </w:rPr>
            </w:pPr>
            <w:r>
              <w:rPr>
                <w:sz w:val="20"/>
              </w:rPr>
              <w:t>By:</w:t>
            </w:r>
          </w:p>
        </w:tc>
        <w:tc>
          <w:tcPr>
            <w:tcW w:w="60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Henri J. Steenkamp</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6050" w:type="dxa"/>
            <w:tcBorders/>
            <w:vAlign w:val="center"/>
          </w:tcPr>
          <w:p>
            <w:pPr>
              <w:pStyle w:val="TableContents"/>
              <w:bidi w:val="0"/>
              <w:spacing w:before="0" w:after="283"/>
              <w:jc w:val="left"/>
              <w:rPr>
                <w:sz w:val="20"/>
              </w:rPr>
            </w:pPr>
            <w:r>
              <w:rPr>
                <w:sz w:val="20"/>
              </w:rPr>
              <w:t>Henri J. Steenkamp</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rPr>
            </w:pPr>
            <w:r>
              <w:rPr>
                <w:sz w:val="20"/>
              </w:rPr>
              <w:t>Chief 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7" w:name="ea030335001ex4-2.htm"/>
      <w:bookmarkStart w:id="38" w:name="ksea030335001ex42"/>
      <w:bookmarkEnd w:id="37"/>
      <w:bookmarkEnd w:id="38"/>
      <w:r>
        <w:rPr>
          <w:b/>
        </w:rPr>
        <w:t>Exhibit 4.2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EIGHTEENTH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26,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EIGHTEENTH SUPPLEMENTAL INDENTURE (this “Eighteenth Supplemental Indenture”), dated as of August 26, 2026, is between Saratoga Investment Corp., a Maryland corporation (the “Company”), and U.S. Bank Trust Company, National Association (as successor in interest to U.S. Bank National Association), as trustee (the “Trustee”). All capitalized terms used herein shall have the meaning set forth in the Base Indenture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executed and delivered an Indenture, dated as of May 10, 2013 (the “Base Indenture” and, as supplemented by this Eighteenth Supplemental Indenture, the “Indenture”), to provide for the issuance by the Company from time to time of the Company’s unsecured debentures, notes or other evidences of indebtedness (the “Securities”), to be issued in one or more series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issue and sell $85,000,000 aggregate principal amount (or up to $97,750,000 aggregate principal amount if the underwriters’ option to purchase additional Securities is exercised in full) of the Company’s 8.00% Notes due 2031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entered into the First Supplemental Indenture, dated as of May 10, 2013 (the “First Supplemental Indenture”), the Second Supplemental Indenture, dated as of December 21, 2016 (the “Second Supplemental Indenture”), the Third Supplemental Indenture, dated as of August 28, 2018 (the “Third Supplemental </w:t>
      </w:r>
      <w:r>
        <w:rPr>
          <w:rFonts w:ascii="Times New Roman;Times;Serif" w:hAnsi="Times New Roman;Times;Serif"/>
          <w:b w:val="false"/>
          <w:i w:val="false"/>
          <w:caps w:val="false"/>
          <w:smallCaps w:val="false"/>
          <w:sz w:val="20"/>
          <w:shd w:fill="FFFFFF" w:val="clear"/>
        </w:rPr>
        <w:t xml:space="preserve">Indenture”), the Fourth Supplemental Indenture, dated as of June 24, 2020 (the “Fourth Supplemental Indenture”), the Fifth Supplemental Indenture, dated as of July 9, 2020 (the “Fifth Supplemental Indenture”), the Sixth Supplemental Indenture, dated as of December 29, 2020 (the “Sixth Supplemental Indenture”), and the Seventh Supplemental Indenture, dated as of January 28, 2021 (the “Seventh Supplemental Indenture”), the Eighth Supplemental Indenture, dated as of March 10, 2021 (the “Eighth Supplemental Indenture”), the Ninth Supplemental Indenture, dated as of January 19, 2022 (the “Ninth Supplemental </w:t>
      </w:r>
      <w:r>
        <w:rPr>
          <w:rFonts w:ascii="Times New Roman;Times;Serif" w:hAnsi="Times New Roman;Times;Serif"/>
          <w:b w:val="false"/>
          <w:i w:val="false"/>
          <w:caps w:val="false"/>
          <w:smallCaps w:val="false"/>
          <w:sz w:val="20"/>
        </w:rPr>
        <w:t xml:space="preserve">Indenture”), the Tenth Supplemental Indenture, dated as of April 27, 2022 (the “Tenth Supplemental Indenture”), the Eleventh Supplemental Indenture, dated as of September 8, 2022 (the “Eleventh Supplemental Indenture”), the Twelfth Supplemental Indenture, dated as of October 27, 2022 (the “Twelfth Supplemental Indenture”), the Thirteenth Supplemental Indenture, dated as of December 13, 2022 (the “Thirteenth Supplemental Indenture”), the Fourteenth Supplemental Indenture, dated as of March 31, 2023 (the Fourteenth Supplemental Indenture”), the Fifteenth Supplemental Indenture, dated as of April 14, 2023 (the “Fifteenth Supplemental Indenture”), the Sixteenth Supplemental Indenture, dated as of February 6, 2026 (the “Sixteenth Supplemental Indenture”), and the Seventeenth Supplemental Indenture, dated as of April 10, 2026 (the “Seventeenth Supplemental Indenture”), each of which amended and supplemented the Base Indenture. Neither the First Supplemental Indenture, the Second Supplemental Indenture, the Third </w:t>
      </w:r>
      <w:r>
        <w:rPr>
          <w:rFonts w:ascii="Times New Roman;Times;Serif" w:hAnsi="Times New Roman;Times;Serif"/>
          <w:b w:val="false"/>
          <w:i w:val="false"/>
          <w:caps w:val="false"/>
          <w:smallCaps w:val="false"/>
          <w:sz w:val="20"/>
          <w:shd w:fill="FFFFFF" w:val="clear"/>
        </w:rPr>
        <w:t xml:space="preserve">Supplemental Indenture, the Fourth Supplemental Indenture, the Fifth Supplemental Indenture, the Sixth Supplemental Indenture, the Seventh Supplemental Indenture, the Eighth Supplemental Indenture, the Ninth </w:t>
      </w:r>
      <w:r>
        <w:rPr>
          <w:rFonts w:ascii="Times New Roman;Times;Serif" w:hAnsi="Times New Roman;Times;Serif"/>
          <w:b w:val="false"/>
          <w:i w:val="false"/>
          <w:caps w:val="false"/>
          <w:smallCaps w:val="false"/>
          <w:sz w:val="20"/>
        </w:rPr>
        <w:t>Supplemental Indenture, the Tenth Supplemental Indenture, the Eleventh Supplemental Indenture, the Twelfth Supplemental Indenture, the Thirteenth Supplemental Indenture, the Fourteenth Supplemental Indenture, the Fifteenth Supplemental Indenture, the Sixteenth Supplemental Indenture, nor the Seventeenth Supplemental Indenture is applicable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w:t>
      </w:r>
      <w:r>
        <w:rPr>
          <w:rFonts w:ascii="Times New Roman;Times;Serif" w:hAnsi="Times New Roman;Times;Serif"/>
          <w:b w:val="false"/>
          <w:i w:val="false"/>
          <w:caps w:val="false"/>
          <w:smallCaps w:val="false"/>
          <w:sz w:val="20"/>
          <w:shd w:fill="FFFFFF" w:val="clear"/>
        </w:rPr>
        <w:t>in form reasonably satisfactory to the Trustee</w:t>
      </w:r>
      <w:r>
        <w:rPr>
          <w:rFonts w:ascii="Times New Roman;Times;Serif" w:hAnsi="Times New Roman;Times;Serif"/>
          <w:b w:val="false"/>
          <w:i w:val="false"/>
          <w:caps w:val="false"/>
          <w:smallCaps w:val="false"/>
          <w:sz w:val="20"/>
        </w:rPr>
        <w:t xml:space="preserve"> to (i) change or eliminate any of the provisions of the Indenture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establish the form and terms of the Notes and to modify, alter, supplement and change certain provisions of the Base Indenture for the benefit of the Holders of the Notes (except as may be provided in a future supplemental indenture to the Indenture (each, a “Future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Eighteenth Supplemental Indenture to provide for the issuance of the Notes and all acts and things necessary to make this Eighteenth Supplemental Indenture a valid, binding, and legal obligation of the Company and to constitute a valid agreement of the Company, in accordance with its terms, have been done and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premises and the purchase of the Notes by the Holders thereof, it is mutually agreed, for the equal and proportionate benefit of all Holders of the Notes,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TERMS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Terms of the Notes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following terms relating to the Notes are hereby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shall constitute a series of Senior Securities having the title “8.00% Notes due 2031.” The Notes shall bear a CUSIP number of 80349A 844 and an ISIN number of US80349A8449.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$85,000,000 (or up to $97,750,000 aggregate principal amount if the underwriters’ option to purchase additional Securities is exercised in full).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and other terms as the Notes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if such Additional Notes are not fungible with the Notes (or any other tranche of Additional Notes) for U.S. federal income tax purposes, then such Additional Notes will have different CUSIP and ISIN numbers from the Notes (and any such other tranche of Additional Notes)</w:t>
      </w:r>
      <w:r>
        <w:rPr>
          <w:rFonts w:ascii="Times New Roman;Times;Serif" w:hAnsi="Times New Roman;Times;Serif"/>
          <w:b w:val="false"/>
          <w:i w:val="false"/>
          <w:caps w:val="false"/>
          <w:smallCaps w:val="false"/>
          <w:sz w:val="20"/>
        </w:rPr>
        <w:t>. Any Additional Notes and the existing Notes will constitute a single series under the Indenture and all references to the relevant Notes herein shall include the Additional Notes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entire outstanding principal of the Notes shall be payable on August 31, 2031, unless earlier redeemed or repurchased in accordance with the provisions of this Eighteenth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rate at which the Notes shall bear interest shall be 8.00% per annum. The date from which interest shall accrue on the Notes shall be August 26, 2026, or the most recent Interest Payment Date to which interest has been paid or provided for; the Interest Payment Dates for the Notes shall be February 28, May 31, August 31 and November 30 of each year, commencing November 30, 2026 (if an Interest Payment Date falls on a day that is not a Business Day, then the applicable interest payment will be made on the next succeeding Business Day and no additional interest will accrue as a result of such delayed payment); the initial interest period will be the period from and including August 26, 2026,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the close of business on the Regular Record Date for such interest, which shall be February 15, May 15, August 15 and November 15 (whether or not a Business Day), as the case may be, next preceding such Interest Payment Date. Payment of principal of (and premium, if any, on) and any such interest on the Notes will be made at the office of the Trustee located at 60 Livingston Avenue, St. Paul, MN 55107, Attention: Saratoga Investment Corp. (8.00% Notes Due 2031) or at such other address as designated by the Trustee,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shall appear in the Security Register;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that so long as the Notes are registered to Cede &amp; Co., such payment will be made by wire transfer in accordance with the procedures established by The Depository Trust Company and the Trustee. Interest on the Notes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Notes shall be initially issuable in global form (each such Note, a “Global Note”). The Global Notes and the Trustee’s certificate of authentication thereon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Eighteenth Supplemental Indenture. Each Global Note shall represent the aggregate amount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depositary for such Global Notes (the “Depositary”) shall be The Depository Trust Company, New York, New York. The Security Registrar with respect to the Global Notes shall be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Notes shall be defeasible pursuant to Section 1402 or Section 1403 of the Base Indenture. Covenant defeasance contained in Section 1403 of the Base Indenture shall apply to the covenants contained in Sections 1006, 1008 and 1009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Notes shall be redeemable pursuant to Section 1101 of the Base Indenture and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will be redeemable in whole or in part at any time or from time to time, at the option of the Company, on or after August 26, 2028, at a redemption price equal to 100% of the outstanding principal amount thereof, plus accrued and unpaid interest payments otherwise payable for the then-current quarterly interest period accrued to, but excluding, the date fixed for redemption.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appearing in the Security Register. All notices of redemption shall contain the information set forth in Section 1104 of the Base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exercise of the Company’s option to redeem the Notes will be done in compliance with the Indenture and the Investment Company Act, to the extent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Company elects to redeem only a portion of the Notes, the Trustee </w:t>
      </w:r>
      <w:r>
        <w:rPr>
          <w:rFonts w:ascii="Times New Roman;Times;Serif" w:hAnsi="Times New Roman;Times;Serif"/>
          <w:b w:val="false"/>
          <w:i w:val="false"/>
          <w:caps w:val="false"/>
          <w:smallCaps w:val="false"/>
          <w:sz w:val="20"/>
          <w:shd w:fill="FFFFFF" w:val="clear"/>
        </w:rPr>
        <w:t>or, with respect to the Global Notes, the Depositary</w:t>
      </w:r>
      <w:r>
        <w:rPr>
          <w:rFonts w:ascii="Times New Roman;Times;Serif" w:hAnsi="Times New Roman;Times;Serif"/>
          <w:b w:val="false"/>
          <w:i w:val="false"/>
          <w:caps w:val="false"/>
          <w:smallCaps w:val="false"/>
          <w:sz w:val="20"/>
        </w:rPr>
        <w:t xml:space="preserve"> will determine the method for selecting the particular Notes to be redeemed, in accordance with Section 1103 of the Base Indenture and the Investment Company Act and the rules of any national securities exchange or quotation system on which the Notes are listed, in each case to the extent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the Company defaults in payment of the Redemption Price, on and after the Redemption Date, interest will cease to accrue on the Notes called for redemption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shall not be subject to any sinking fund pursuant to Section 1201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Notes shall be issuable in denominations of $25 and integral multiples of $25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Holders of the Notes will not have the option to have the Notes repaid prior to the Stated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Notes are hereby designated as “Senior Securities” under the Indenture.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w:t>
      </w:r>
      <w:r>
        <w:rPr>
          <w:rFonts w:ascii="Times New Roman;Times;Serif" w:hAnsi="Times New Roman;Times;Serif"/>
          <w:b w:val="false"/>
          <w:i w:val="false"/>
          <w:caps w:val="false"/>
          <w:smallCaps w:val="false"/>
          <w:sz w:val="20"/>
        </w:rPr>
        <w:t>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1009, 1010 and 1011 thereto, each as set forth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Section 18(a)(1)(A) of the Investment Company Act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agrees that for the period of time during which the Notes are Outstanding, the Company will not violate (whether or not it is subject to) Section 18(a)(1)(A) as modified by Section 61(a)(2) of the Investment Company Act </w:t>
      </w:r>
      <w:r>
        <w:rPr>
          <w:rFonts w:ascii="Times New Roman;Times;Serif" w:hAnsi="Times New Roman;Times;Serif"/>
          <w:b w:val="false"/>
          <w:i w:val="false"/>
          <w:caps w:val="false"/>
          <w:smallCaps w:val="false"/>
          <w:sz w:val="20"/>
          <w:shd w:fill="FFFFFF" w:val="clear"/>
        </w:rPr>
        <w:t xml:space="preserve">as may be applicable to the Company from time to time </w:t>
      </w:r>
      <w:r>
        <w:rPr>
          <w:rFonts w:ascii="Times New Roman;Times;Serif" w:hAnsi="Times New Roman;Times;Serif"/>
          <w:b w:val="false"/>
          <w:i w:val="false"/>
          <w:caps w:val="false"/>
          <w:smallCaps w:val="false"/>
          <w:sz w:val="20"/>
        </w:rPr>
        <w:t>or any successor provisions thereto, whether or not the Company continues to be subject to such provisions of the Investment Company Act, but giving effect to any exemptive relief granted to the Company by the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Section 18(a)(1)(B) of the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for the period of time during which the Notes are Outstanding, the Company will not violate Section 18(a)(1)(B) as modified by Section 61(a)(2) of the Investment Company Act or any successor provisions thereto, whether or not the Company is subject to such provisions of the Investment Company Act, and after giving effect to any exemptive relief granted to the Company by the Commission, except that the Company may declare a cash dividend or distribution, notwithstanding the prohibition contained in Section 18(a)(1)(B) as modified by Section 61(a)(2) of the Investment Company Act or any successor provisions thereto, but only up to such amount as is necessary in order for the Company to maintain its status as a regulated investment company under Subchapter M of the Code; provided, however, that the prohibition in this Section 1010 shall not apply until such time as the Company’s asset coverage has been below the minimum asset coverage required pursuant to Section 18(a)(1)(B) as modified by Section 61(a)(2) of the Investment Company Act or any successor provisions thereto (after giving effect to any exemptive relief granted to the Company by the Commission) for more than six (6) consecutive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Commission Reports and Reports to 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is not subject to the reporting requirements of Sections 13 or 15(d) of the Exchange Act to file any periodic reports with the Commission, the Company agrees to furnish to the Holders of the Notes and the Trustee for the period of time during which the Notes are Outstanding: (i) within 90 days after the end of the each fiscal year of the Company (which fiscal year ends on February 28 (or February 29 during a leap year)),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MEETINGS OF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3.01 </w:t>
      </w:r>
      <w:r>
        <w:rPr>
          <w:rFonts w:ascii="Times New Roman;Times;Serif" w:hAnsi="Times New Roman;Times;Serif"/>
          <w:b w:val="false"/>
          <w:i w:val="false"/>
          <w:caps w:val="false"/>
          <w:smallCaps w:val="false"/>
          <w:sz w:val="20"/>
        </w:rPr>
        <w:t>Except as may be provided in a Future Supplemental Indenture, for the benefit of the Holders of the Notes but no other series of Securities under the Indenture, whether now or hereafter issued and Outstanding, Section 1505 of the Base Indenture shall be amended by replacing clause (c) thereof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 At any meeting of Holders, each Holder of a Security of such series or proxy shall be entitled to one vote for each $25.00 principal amount of the Outstanding Securities of such series held or represented by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4.01 </w:t>
      </w:r>
      <w:r>
        <w:rPr>
          <w:rFonts w:ascii="Times New Roman;Times;Serif" w:hAnsi="Times New Roman;Times;Serif"/>
          <w:b w:val="false"/>
          <w:i w:val="false"/>
          <w:caps w:val="false"/>
          <w:smallCaps w:val="false"/>
          <w:sz w:val="20"/>
        </w:rPr>
        <w:t>This Eighteenth Supplemental Indenture and the Notes shall be governed by and construed in accordance with the law of the State of New York, without regard to principles of conflicts of laws. This Eighteenth Supplemental Indenture is subject to the provisions of the Trust Indenture Act that are required to be part of the Indenture and shall, to the extent applicable, be governed by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In case any provision in this Eighteenth Supplemental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4.03 </w:t>
      </w:r>
      <w:r>
        <w:rPr>
          <w:rFonts w:ascii="Times New Roman;Times;Serif" w:hAnsi="Times New Roman;Times;Serif"/>
          <w:b w:val="false"/>
          <w:i w:val="false"/>
          <w:caps w:val="false"/>
          <w:smallCaps w:val="false"/>
          <w:sz w:val="20"/>
          <w:shd w:fill="FFFFFF" w:val="clear"/>
        </w:rPr>
        <w:t xml:space="preserve">This </w:t>
      </w:r>
      <w:r>
        <w:rPr>
          <w:rFonts w:ascii="Times New Roman;Times;Serif" w:hAnsi="Times New Roman;Times;Serif"/>
          <w:b w:val="false"/>
          <w:i w:val="false"/>
          <w:caps w:val="false"/>
          <w:smallCaps w:val="false"/>
          <w:sz w:val="20"/>
        </w:rPr>
        <w:t xml:space="preserve">Eighteenth </w:t>
      </w:r>
      <w:r>
        <w:rPr>
          <w:rFonts w:ascii="Times New Roman;Times;Serif" w:hAnsi="Times New Roman;Times;Serif"/>
          <w:b w:val="false"/>
          <w:i w:val="false"/>
          <w:caps w:val="false"/>
          <w:smallCaps w:val="false"/>
          <w:sz w:val="20"/>
          <w:shd w:fill="FFFFFF" w:val="clear"/>
        </w:rPr>
        <w:t xml:space="preserve">Supplemental Indenture may be executed in counterparts, each of which will be an original, but such counterparts will together constitute but one and the same </w:t>
      </w:r>
      <w:r>
        <w:rPr>
          <w:rFonts w:ascii="Times New Roman;Times;Serif" w:hAnsi="Times New Roman;Times;Serif"/>
          <w:b w:val="false"/>
          <w:i w:val="false"/>
          <w:caps w:val="false"/>
          <w:smallCaps w:val="false"/>
          <w:sz w:val="20"/>
        </w:rPr>
        <w:t xml:space="preserve">Eighteenth </w:t>
      </w:r>
      <w:r>
        <w:rPr>
          <w:rFonts w:ascii="Times New Roman;Times;Serif" w:hAnsi="Times New Roman;Times;Serif"/>
          <w:b w:val="false"/>
          <w:i w:val="false"/>
          <w:caps w:val="false"/>
          <w:smallCaps w:val="false"/>
          <w:sz w:val="20"/>
          <w:shd w:fill="FFFFFF" w:val="clear"/>
        </w:rPr>
        <w:t xml:space="preserve">Supplemental Indenture. The exchange of copies of this </w:t>
      </w:r>
      <w:r>
        <w:rPr>
          <w:rFonts w:ascii="Times New Roman;Times;Serif" w:hAnsi="Times New Roman;Times;Serif"/>
          <w:b w:val="false"/>
          <w:i w:val="false"/>
          <w:caps w:val="false"/>
          <w:smallCaps w:val="false"/>
          <w:sz w:val="20"/>
        </w:rPr>
        <w:t xml:space="preserve">Eighteenth </w:t>
      </w:r>
      <w:r>
        <w:rPr>
          <w:rFonts w:ascii="Times New Roman;Times;Serif" w:hAnsi="Times New Roman;Times;Serif"/>
          <w:b w:val="false"/>
          <w:i w:val="false"/>
          <w:caps w:val="false"/>
          <w:smallCaps w:val="false"/>
          <w:sz w:val="20"/>
          <w:shd w:fill="FFFFFF" w:val="clear"/>
        </w:rPr>
        <w:t xml:space="preserve">Supplemental Indenture and of signature pages by facsimile, .pdf transmission, email or other electronic means shall constitute effective execution and delivery of this </w:t>
      </w:r>
      <w:r>
        <w:rPr>
          <w:rFonts w:ascii="Times New Roman;Times;Serif" w:hAnsi="Times New Roman;Times;Serif"/>
          <w:b w:val="false"/>
          <w:i w:val="false"/>
          <w:caps w:val="false"/>
          <w:smallCaps w:val="false"/>
          <w:sz w:val="20"/>
        </w:rPr>
        <w:t xml:space="preserve">Eighteenth </w:t>
      </w:r>
      <w:r>
        <w:rPr>
          <w:rFonts w:ascii="Times New Roman;Times;Serif" w:hAnsi="Times New Roman;Times;Serif"/>
          <w:b w:val="false"/>
          <w:i w:val="false"/>
          <w:caps w:val="false"/>
          <w:smallCaps w:val="false"/>
          <w:sz w:val="20"/>
          <w:shd w:fill="FFFFFF" w:val="clear"/>
        </w:rPr>
        <w:t>Supplemental Indenture for all purposes. Signatures of the parties hereto transmitted by facsimile, .pdf transmission, email or other electronic means shall be deemed to be their original signatures for all purposes.</w:t>
      </w:r>
      <w:r>
        <w:rPr>
          <w:rFonts w:ascii="Times New Roman;Times;Serif" w:hAnsi="Times New Roman;Times;Serif"/>
          <w:b w:val="false"/>
          <w:i w:val="false"/>
          <w:caps w:val="false"/>
          <w:smallCaps w:val="false"/>
          <w:sz w:val="20"/>
        </w:rPr>
        <w:t xml:space="preserve"> For the avoidance of doubt, all notices, approvals, consents, requests and any communications hereunder or with respect to the Eighteenth Supplemental Indenture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4.04 </w:t>
      </w:r>
      <w:r>
        <w:rPr>
          <w:rFonts w:ascii="Times New Roman;Times;Serif" w:hAnsi="Times New Roman;Times;Serif"/>
          <w:b w:val="false"/>
          <w:i w:val="false"/>
          <w:caps w:val="false"/>
          <w:smallCaps w:val="false"/>
          <w:sz w:val="20"/>
        </w:rPr>
        <w:t>The Base Indenture, as supplemented and amended by this Eighteenth Supplemental Indenture, is in all respects ratified and confirmed, and the Base Indenture and this Eighteenth Supplemental Indenture shall be read, taken and construed as one and the same instrument with respect to the Notes. All provisions included in this Eighteenth Supplemental Indenture supersede any conflicting provisions included in the Base Indenture with respect to the Notes, unless not permitted by law. The Trustee accepts the trusts created by the Base Indenture, as supplemented by this Eighteenth Supplemental Indenture, and agrees to perform the same upon the terms and conditions of the Base Indenture, as supplemented by this Eighteenth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4.05 </w:t>
      </w:r>
      <w:r>
        <w:rPr>
          <w:rFonts w:ascii="Times New Roman;Times;Serif" w:hAnsi="Times New Roman;Times;Serif"/>
          <w:b w:val="false"/>
          <w:i w:val="false"/>
          <w:caps w:val="false"/>
          <w:smallCaps w:val="false"/>
          <w:sz w:val="20"/>
        </w:rPr>
        <w:t>The provisions of this Eighteenth Supplemental Indenture shall become effective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w:t>
      </w:r>
      <w:r>
        <w:rPr>
          <w:rFonts w:ascii="Times New Roman;Times;Serif" w:hAnsi="Times New Roman;Times;Serif"/>
          <w:b w:val="false"/>
          <w:i w:val="false"/>
          <w:caps w:val="false"/>
          <w:smallCaps w:val="false"/>
          <w:sz w:val="20"/>
        </w:rPr>
        <w:t>Notwithstanding anything else to the contrary herein, the terms and provisions of this Eighteenth Supplemental Indenture shall apply only to the Notes and shall not apply to any other series of Securities under the Indenture and this Eighteenth Supplemental Indenture shall not and does not otherwise affect, modify, alter, supplement or change the terms and provisions of any other series of Securities under the Indenture, whether now or hereafter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w:t>
      </w:r>
      <w:r>
        <w:rPr>
          <w:rFonts w:ascii="Times New Roman;Times;Serif" w:hAnsi="Times New Roman;Times;Serif"/>
          <w:b w:val="false"/>
          <w:i w:val="false"/>
          <w:caps w:val="false"/>
          <w:smallCaps w:val="false"/>
          <w:sz w:val="20"/>
        </w:rPr>
        <w:t xml:space="preserve">The recitals contained herein and in the Notes shall be taken as the statements of the Company, and the Trustee assumes no responsibility for their correctness. The Trustee makes no representations as to the validity or sufficiency of this Eighteenth Supplemental Indenture, the Notes or any Additional Notes, except that the Trustee represents that it is duly authorized to execute and deliver this Eighteenth Supplemental Indenture, authenticate the Notes and any Additional Notes and perform its obligations hereunder. The Trustee shall not be accountable for the use or application by the Company of the Notes or any Additional Notes or the proceeds thereof. </w:t>
      </w:r>
      <w:r>
        <w:rPr>
          <w:rFonts w:ascii="Times New Roman;Times;Serif" w:hAnsi="Times New Roman;Times;Serif"/>
          <w:b w:val="false"/>
          <w:i w:val="false"/>
          <w:caps w:val="false"/>
          <w:smallCaps w:val="false"/>
          <w:sz w:val="20"/>
          <w:shd w:fill="FFFFFF" w:val="clear"/>
        </w:rPr>
        <w:t>All of the provisions contained in the Indenture in respect of the rights, privileges, immunities, powers, and duties of the Trustee shall be applicable in respect of this Eighteenth Supplemental Indenture as fully and with like force and effect as though fully set forth in full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Eighteenth Supplemental Indenture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28"/>
        <w:gridCol w:w="9102"/>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SARATOGA INVESTMENT CORP.</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By:</w:t>
            </w:r>
          </w:p>
        </w:tc>
        <w:tc>
          <w:tcPr>
            <w:tcW w:w="9102" w:type="dxa"/>
            <w:tcBorders>
              <w:bottom w:val="single" w:sz="12" w:space="0" w:color="000000"/>
            </w:tcBorders>
            <w:tcMar>
              <w:bottom w:w="28" w:type="dxa"/>
            </w:tcMar>
            <w:vAlign w:val="center"/>
          </w:tcPr>
          <w:p>
            <w:pPr>
              <w:pStyle w:val="TableContents"/>
              <w:bidi w:val="0"/>
              <w:spacing w:before="0" w:after="283"/>
              <w:jc w:val="left"/>
              <w:rPr/>
            </w:pPr>
            <w:r>
              <w:rPr/>
              <w:t>/s/ Henri J. Steenkamp</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Name: </w:t>
            </w:r>
          </w:p>
        </w:tc>
        <w:tc>
          <w:tcPr>
            <w:tcW w:w="9102" w:type="dxa"/>
            <w:tcBorders/>
            <w:vAlign w:val="center"/>
          </w:tcPr>
          <w:p>
            <w:pPr>
              <w:pStyle w:val="TableContents"/>
              <w:bidi w:val="0"/>
              <w:spacing w:before="0" w:after="283"/>
              <w:jc w:val="left"/>
              <w:rPr/>
            </w:pPr>
            <w:r>
              <w:rPr/>
              <w:t>Henri J. Steenkamp</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Title:</w:t>
            </w:r>
          </w:p>
        </w:tc>
        <w:tc>
          <w:tcPr>
            <w:tcW w:w="9102" w:type="dxa"/>
            <w:tcBorders/>
            <w:vAlign w:val="center"/>
          </w:tcPr>
          <w:p>
            <w:pPr>
              <w:pStyle w:val="TableContents"/>
              <w:bidi w:val="0"/>
              <w:spacing w:before="0" w:after="283"/>
              <w:jc w:val="left"/>
              <w:rPr/>
            </w:pPr>
            <w:r>
              <w:rPr/>
              <w:t>Chief Financial Officer, Chief Compliance Officer, Treasurer and Secretary</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U.S. BANK TRUST COMPANY, NATIONAL ASSOCIATION (as successor in interest to U.S. Bank National Association), as Trustee</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By:</w:t>
            </w:r>
          </w:p>
        </w:tc>
        <w:tc>
          <w:tcPr>
            <w:tcW w:w="9102" w:type="dxa"/>
            <w:tcBorders>
              <w:bottom w:val="single" w:sz="12" w:space="0" w:color="000000"/>
            </w:tcBorders>
            <w:tcMar>
              <w:bottom w:w="28" w:type="dxa"/>
            </w:tcMar>
            <w:vAlign w:val="center"/>
          </w:tcPr>
          <w:p>
            <w:pPr>
              <w:pStyle w:val="TableContents"/>
              <w:bidi w:val="0"/>
              <w:spacing w:before="0" w:after="283"/>
              <w:jc w:val="left"/>
              <w:rPr/>
            </w:pPr>
            <w:r>
              <w:rPr/>
              <w:t>/s/ Adina M. Casper</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Name:</w:t>
            </w:r>
          </w:p>
        </w:tc>
        <w:tc>
          <w:tcPr>
            <w:tcW w:w="9102" w:type="dxa"/>
            <w:tcBorders/>
            <w:vAlign w:val="center"/>
          </w:tcPr>
          <w:p>
            <w:pPr>
              <w:pStyle w:val="TableContents"/>
              <w:bidi w:val="0"/>
              <w:spacing w:before="0" w:after="283"/>
              <w:jc w:val="left"/>
              <w:rPr/>
            </w:pPr>
            <w:r>
              <w:rPr/>
              <w:t>Adina M. Casper</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pPr>
            <w:r>
              <w:rPr/>
              <w:t>Title:</w:t>
            </w:r>
          </w:p>
        </w:tc>
        <w:tc>
          <w:tcPr>
            <w:tcW w:w="9102"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Eighteenth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 Form of Global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440"/>
        <w:gridCol w:w="2540"/>
      </w:tblGrid>
      <w:tr>
        <w:trPr/>
        <w:tc>
          <w:tcPr>
            <w:tcW w:w="440" w:type="dxa"/>
            <w:tcBorders/>
            <w:vAlign w:val="center"/>
          </w:tcPr>
          <w:p>
            <w:pPr>
              <w:pStyle w:val="TableContents"/>
              <w:bidi w:val="0"/>
              <w:spacing w:before="0" w:after="283"/>
              <w:ind w:left="0" w:right="0" w:hanging="200"/>
              <w:jc w:val="left"/>
              <w:rPr/>
            </w:pPr>
            <w:r>
              <w:rPr/>
              <w:t xml:space="preserve">No. </w:t>
            </w:r>
          </w:p>
        </w:tc>
        <w:tc>
          <w:tcPr>
            <w:tcW w:w="2540" w:type="dxa"/>
            <w:tcBorders/>
            <w:vAlign w:val="center"/>
          </w:tcPr>
          <w:p>
            <w:pPr>
              <w:pStyle w:val="TableContents"/>
              <w:bidi w:val="0"/>
              <w:spacing w:before="0" w:after="283"/>
              <w:ind w:left="0" w:right="0" w:hanging="200"/>
              <w:jc w:val="left"/>
              <w:rPr/>
            </w:pPr>
            <w:r>
              <w:rPr/>
              <w:t>$</w:t>
            </w:r>
          </w:p>
        </w:tc>
      </w:tr>
      <w:tr>
        <w:trPr/>
        <w:tc>
          <w:tcPr>
            <w:tcW w:w="440" w:type="dxa"/>
            <w:tcBorders/>
            <w:vAlign w:val="center"/>
          </w:tcPr>
          <w:p>
            <w:pPr>
              <w:pStyle w:val="TableContents"/>
              <w:bidi w:val="0"/>
              <w:spacing w:before="0" w:after="283"/>
              <w:ind w:left="0" w:right="0" w:hanging="200"/>
              <w:jc w:val="left"/>
              <w:rPr/>
            </w:pPr>
            <w:r>
              <w:rPr/>
              <w:t> </w:t>
            </w:r>
          </w:p>
        </w:tc>
        <w:tc>
          <w:tcPr>
            <w:tcW w:w="2540" w:type="dxa"/>
            <w:tcBorders/>
            <w:vAlign w:val="center"/>
          </w:tcPr>
          <w:p>
            <w:pPr>
              <w:pStyle w:val="TableContents"/>
              <w:bidi w:val="0"/>
              <w:spacing w:before="0" w:after="283"/>
              <w:ind w:left="0" w:right="0" w:hanging="200"/>
              <w:jc w:val="left"/>
              <w:rPr/>
            </w:pPr>
            <w:r>
              <w:rPr/>
              <w:t>CUSIP No. 80349A 844</w:t>
            </w:r>
          </w:p>
        </w:tc>
      </w:tr>
      <w:tr>
        <w:trPr/>
        <w:tc>
          <w:tcPr>
            <w:tcW w:w="440" w:type="dxa"/>
            <w:tcBorders/>
            <w:vAlign w:val="center"/>
          </w:tcPr>
          <w:p>
            <w:pPr>
              <w:pStyle w:val="TableContents"/>
              <w:bidi w:val="0"/>
              <w:spacing w:before="0" w:after="283"/>
              <w:ind w:left="0" w:right="0" w:hanging="200"/>
              <w:jc w:val="left"/>
              <w:rPr/>
            </w:pPr>
            <w:r>
              <w:rPr/>
              <w:t> </w:t>
            </w:r>
          </w:p>
        </w:tc>
        <w:tc>
          <w:tcPr>
            <w:tcW w:w="2540" w:type="dxa"/>
            <w:tcBorders/>
            <w:vAlign w:val="center"/>
          </w:tcPr>
          <w:p>
            <w:pPr>
              <w:pStyle w:val="TableContents"/>
              <w:bidi w:val="0"/>
              <w:spacing w:before="0" w:after="283"/>
              <w:jc w:val="left"/>
              <w:rPr/>
            </w:pPr>
            <w:r>
              <w:rPr/>
              <w:t>ISIN No. US80349A8449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Notes due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Dollars (U.S. $       ) on August 31, 2031 and to pay interest thereon from August 26, 2026 or from the most recent Interest Payment Date to which interest has been paid or duly provided for, quarterly on February 28, May 31, August 31 and November 30 in each year, commencing November 30, 2026 at the rate of 8.00%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February 15, May 15, August 15 and November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the principal of (and premium, if any, on) and any such interest on this Security will be made at the office of the Trustee located at 60 Livingston Avenue, St. Paul, MN 55107, Attention: Saratoga Investment Corp. (8.00% Notes due 2031) or at such other address as designated by the Trustee,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at the option of the Company payment of interest may be made by check mailed to the address of the Person entitled thereto as such address shall appear in the Security Register;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that so long as this Security is registered to Cede &amp; Co., such payment will be made by wire transfer in accordance with the procedures established by The Depository Trust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5"/>
        <w:gridCol w:w="1003"/>
        <w:gridCol w:w="1931"/>
        <w:gridCol w:w="835"/>
      </w:tblGrid>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SARATOGA INVESTMENT CORP.</w:t>
            </w:r>
          </w:p>
        </w:tc>
      </w:tr>
      <w:tr>
        <w:trPr/>
        <w:tc>
          <w:tcPr>
            <w:tcW w:w="75" w:type="dxa"/>
            <w:tcBorders/>
            <w:vAlign w:val="center"/>
          </w:tcPr>
          <w:p>
            <w:pPr>
              <w:pStyle w:val="TableContents"/>
              <w:bidi w:val="0"/>
              <w:spacing w:before="0" w:after="283"/>
              <w:jc w:val="left"/>
              <w:rPr/>
            </w:pPr>
            <w:r>
              <w:rPr/>
              <w:t> </w:t>
            </w:r>
          </w:p>
        </w:tc>
        <w:tc>
          <w:tcPr>
            <w:tcW w:w="2934" w:type="dxa"/>
            <w:gridSpan w:val="2"/>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By: </w:t>
            </w:r>
          </w:p>
        </w:tc>
        <w:tc>
          <w:tcPr>
            <w:tcW w:w="2766"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Name: </w:t>
            </w:r>
          </w:p>
        </w:tc>
        <w:tc>
          <w:tcPr>
            <w:tcW w:w="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Title:</w:t>
            </w:r>
          </w:p>
        </w:tc>
        <w:tc>
          <w:tcPr>
            <w:tcW w:w="8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365"/>
        <w:gridCol w:w="650"/>
        <w:gridCol w:w="60"/>
        <w:gridCol w:w="60"/>
      </w:tblGrid>
      <w:tr>
        <w:trPr/>
        <w:tc>
          <w:tcPr>
            <w:tcW w:w="1075" w:type="dxa"/>
            <w:gridSpan w:val="3"/>
            <w:tcBorders/>
            <w:vAlign w:val="center"/>
          </w:tcPr>
          <w:p>
            <w:pPr>
              <w:pStyle w:val="TableContents"/>
              <w:bidi w:val="0"/>
              <w:spacing w:before="0" w:after="283"/>
              <w:ind w:left="0" w:right="0" w:hanging="200"/>
              <w:jc w:val="left"/>
              <w:rPr/>
            </w:pPr>
            <w:r>
              <w:rPr/>
              <w:t>Attest</w:t>
            </w:r>
          </w:p>
        </w:tc>
        <w:tc>
          <w:tcPr>
            <w:tcW w:w="60" w:type="dxa"/>
            <w:tcBorders/>
            <w:vAlign w:val="center"/>
          </w:tcPr>
          <w:p>
            <w:pPr>
              <w:pStyle w:val="TableContents"/>
              <w:bidi w:val="0"/>
              <w:spacing w:before="0" w:after="283"/>
              <w:ind w:left="0" w:right="0" w:hanging="200"/>
              <w:jc w:val="left"/>
              <w:rPr/>
            </w:pPr>
            <w:r>
              <w:rPr/>
              <w:t> </w:t>
            </w:r>
          </w:p>
        </w:tc>
      </w:tr>
      <w:tr>
        <w:trPr/>
        <w:tc>
          <w:tcPr>
            <w:tcW w:w="365" w:type="dxa"/>
            <w:tcBorders/>
            <w:vAlign w:val="center"/>
          </w:tcPr>
          <w:p>
            <w:pPr>
              <w:pStyle w:val="TableContents"/>
              <w:bidi w:val="0"/>
              <w:spacing w:before="0" w:after="283"/>
              <w:ind w:left="0" w:right="0" w:hanging="200"/>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r>
      <w:tr>
        <w:trPr/>
        <w:tc>
          <w:tcPr>
            <w:tcW w:w="365" w:type="dxa"/>
            <w:tcBorders/>
            <w:vAlign w:val="center"/>
          </w:tcPr>
          <w:p>
            <w:pPr>
              <w:pStyle w:val="TableContents"/>
              <w:bidi w:val="0"/>
              <w:spacing w:before="0" w:after="283"/>
              <w:ind w:left="0" w:right="0" w:hanging="200"/>
              <w:jc w:val="left"/>
              <w:rPr/>
            </w:pPr>
            <w:r>
              <w:rPr/>
              <w:t>By:</w:t>
            </w:r>
          </w:p>
        </w:tc>
        <w:tc>
          <w:tcPr>
            <w:tcW w:w="7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r>
      <w:tr>
        <w:trPr/>
        <w:tc>
          <w:tcPr>
            <w:tcW w:w="365" w:type="dxa"/>
            <w:tcBorders/>
            <w:vAlign w:val="center"/>
          </w:tcPr>
          <w:p>
            <w:pPr>
              <w:pStyle w:val="TableContents"/>
              <w:bidi w:val="0"/>
              <w:spacing w:before="0" w:after="283"/>
              <w:ind w:left="0" w:right="0" w:hanging="200"/>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r>
      <w:tr>
        <w:trPr/>
        <w:tc>
          <w:tcPr>
            <w:tcW w:w="365" w:type="dxa"/>
            <w:tcBorders/>
            <w:vAlign w:val="center"/>
          </w:tcPr>
          <w:p>
            <w:pPr>
              <w:pStyle w:val="TableContents"/>
              <w:bidi w:val="0"/>
              <w:spacing w:before="0" w:after="283"/>
              <w:ind w:left="0" w:right="0" w:hanging="200"/>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Note – Eighteenth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9"/>
        <w:gridCol w:w="8381"/>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U.S. BANK TRUST COMPANY, NATIONAL ASSOCIATION (as successor in interest to U.S. Bank National Association),</w:t>
              <w:br/>
              <w:t>as Trustee</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left"/>
              <w:rPr/>
            </w:pPr>
            <w:r>
              <w:rPr/>
              <w:t>By: </w:t>
            </w:r>
          </w:p>
        </w:tc>
        <w:tc>
          <w:tcPr>
            <w:tcW w:w="838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left"/>
              <w:rPr/>
            </w:pPr>
            <w:r>
              <w:rPr/>
              <w:t> </w:t>
            </w:r>
          </w:p>
        </w:tc>
        <w:tc>
          <w:tcPr>
            <w:tcW w:w="8381" w:type="dxa"/>
            <w:tcBorders/>
            <w:vAlign w:val="center"/>
          </w:tcPr>
          <w:p>
            <w:pPr>
              <w:pStyle w:val="TableContents"/>
              <w:bidi w:val="0"/>
              <w:spacing w:before="0" w:after="283"/>
              <w:jc w:val="left"/>
              <w:rPr/>
            </w:pPr>
            <w:r>
              <w:rPr/>
              <w:t>Authorized Signatory</w:t>
            </w:r>
          </w:p>
        </w:tc>
      </w:tr>
    </w:tbl>
    <w:p>
      <w:pPr>
        <w:pStyle w:val="TextBody"/>
        <w:bidi w:val="0"/>
        <w:spacing w:before="0" w:after="283"/>
        <w:jc w:val="left"/>
        <w:rPr/>
      </w:pPr>
      <w:r>
        <w:rPr/>
        <w:t> </w:t>
      </w:r>
    </w:p>
    <w:p>
      <w:pPr>
        <w:pStyle w:val="TextBody"/>
        <w:bidi w:val="0"/>
        <w:jc w:val="center"/>
        <w:rPr>
          <w:i/>
        </w:rPr>
      </w:pPr>
      <w:r>
        <w:rPr>
          <w:i/>
        </w:rPr>
        <w:t>[Global Note – Eighteenth Supplemental Indenture]</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br/>
      </w:r>
      <w:r>
        <w:rPr>
          <w:rFonts w:ascii="Times New Roman;Times;Serif" w:hAnsi="Times New Roman;Times;Serif"/>
          <w:b w:val="false"/>
          <w:i w:val="false"/>
          <w:caps w:val="false"/>
          <w:smallCaps w:val="false"/>
          <w:sz w:val="20"/>
        </w:rPr>
        <w:t>8.00% Notes due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Senior Securities of the Company (herein called the “Securities”), issued and to be issued in one or more series under an Indenture, dated as of May 10, 2013 (herein called the “Base Indenture”, which term shall have the meaning assigned to it in such instrument), between the Company and U.S. Bank Trust Company, National Association (as successor in interest to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Eighteenth Supplemental Indenture relating to the Securities, dated as of August 26, 2026, by and between the Company and the Trustee (herein called the “Eighteenth Supplemental Indenture”; the Eighteenth Supplemental Indenture and together with the Base Indenture, collectively are herein called the “Indenture”). In the event of any conflict between the Base Indenture and the Eighteenth Supplemental Indenture, the Eighteenth Supplemental Indenture shall govern and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the series designated on the face hereof, which series is initially limited in aggregate principal amount to $   .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if such Additional Securities are not fungible with the Securities (or any other tranche of Additional Securities for U.S. federal income tax purposes), then such Additional Securities will have different CUSIP and ISIN numbers from the Securities (and any such other tranche of Additional Securities)</w:t>
      </w:r>
      <w:r>
        <w:rPr>
          <w:rFonts w:ascii="Times New Roman;Times;Serif" w:hAnsi="Times New Roman;Times;Serif"/>
          <w:b w:val="false"/>
          <w:i w:val="false"/>
          <w:caps w:val="false"/>
          <w:smallCaps w:val="false"/>
          <w:sz w:val="20"/>
        </w:rPr>
        <w:t>.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subject to redemption in whole or in part at any time or from time to time, at the option of the Company, on or after August 26, 2028, at a redemption price per security equal to 100% of the outstanding principal amount thereof plus accrued and unpaid interest payments otherwise payable for the then-current quarterly interest period accrued to, but excluding, the date fixed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given in writing and mailed, first-class postage prepaid or by overnight courier guaranteeing next-day delivery,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exercise of the Company’s option to redeem the Securities will be done in compliance with the Indenture and the Investment Company Act,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elects to redeem only a portion of the Securities, the Trustee </w:t>
      </w:r>
      <w:r>
        <w:rPr>
          <w:rFonts w:ascii="Times New Roman;Times;Serif" w:hAnsi="Times New Roman;Times;Serif"/>
          <w:b w:val="false"/>
          <w:i w:val="false"/>
          <w:caps w:val="false"/>
          <w:smallCaps w:val="false"/>
          <w:sz w:val="20"/>
          <w:shd w:fill="FFFFFF" w:val="clear"/>
        </w:rPr>
        <w:t xml:space="preserve">or, with respect to global Securities, the Depositary </w:t>
      </w:r>
      <w:r>
        <w:rPr>
          <w:rFonts w:ascii="Times New Roman;Times;Serif" w:hAnsi="Times New Roman;Times;Serif"/>
          <w:b w:val="false"/>
          <w:i w:val="false"/>
          <w:caps w:val="false"/>
          <w:smallCaps w:val="false"/>
          <w:sz w:val="20"/>
        </w:rPr>
        <w:t>will determine the method for selecting the particular Securities to be redeemed, in accordance with Section 1.01 of the Eighteenth Supplemental Indenture and Section 1103 of the Base Indenture. In the event of redemption of this Security in part only, a new Security or Securities of this series and of like tenor for the unredeemed portion hereof will be issued in the name of the Holder hereof upon the cancellation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Securities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Securities do not have the option to have the Securities repaid prior to August 31,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the Trustee, or the Security Registrar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or the Security Registrar and any agent of the Company, the Trustee, or the Security Registrar may treat the Person in whose name this Security is registered as the owner hereof for all purposes, whether or not this Security be overdue, and none of the Company, the Trustee, the Security Registrar or any agent thereof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provision of this Security conflicts with the express provisions of the Indenture, the provisions of the Indenture shall govern and be controlling.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9" w:name="ea030335001ex5-1.htm"/>
      <w:bookmarkStart w:id="40" w:name="ksea030335001ex51"/>
      <w:bookmarkEnd w:id="39"/>
      <w:bookmarkEnd w:id="40"/>
      <w:r>
        <w:rPr>
          <w:b/>
        </w:rPr>
        <w:t>Exhibit 5.1</w:t>
      </w:r>
      <w:r>
        <w:br w:type="page"/>
      </w:r>
    </w:p>
    <w:p>
      <w:pPr>
        <w:pStyle w:val="TextBody"/>
        <w:bidi w:val="0"/>
        <w:jc w:val="right"/>
        <w:rPr/>
      </w:pPr>
      <w:r>
        <w:rPr/>
        <w:t> </w:t>
      </w:r>
    </w:p>
    <w:tbl>
      <w:tblPr>
        <w:tblW w:w="5795" w:type="dxa"/>
        <w:jc w:val="left"/>
        <w:tblInd w:w="0" w:type="dxa"/>
        <w:tblLayout w:type="fixed"/>
        <w:tblCellMar>
          <w:top w:w="0" w:type="dxa"/>
          <w:left w:w="0" w:type="dxa"/>
          <w:bottom w:w="0" w:type="dxa"/>
          <w:right w:w="0" w:type="dxa"/>
        </w:tblCellMar>
      </w:tblPr>
      <w:tblGrid>
        <w:gridCol w:w="3075"/>
        <w:gridCol w:w="2720"/>
      </w:tblGrid>
      <w:tr>
        <w:trPr/>
        <w:tc>
          <w:tcPr>
            <w:tcW w:w="3075" w:type="dxa"/>
            <w:tcBorders/>
            <w:vAlign w:val="center"/>
          </w:tcPr>
          <w:p>
            <w:pPr>
              <w:pStyle w:val="TableContents"/>
              <w:bidi w:val="0"/>
              <w:spacing w:before="0" w:after="283"/>
              <w:jc w:val="left"/>
              <w:rPr/>
            </w:pPr>
            <w:r>
              <w:rPr/>
              <w:drawing>
                <wp:inline distT="0" distB="0" distL="0" distR="0">
                  <wp:extent cx="19431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943100" cy="476250"/>
                          </a:xfrm>
                          <a:prstGeom prst="rect">
                            <a:avLst/>
                          </a:prstGeom>
                        </pic:spPr>
                      </pic:pic>
                    </a:graphicData>
                  </a:graphic>
                </wp:inline>
              </w:drawing>
            </w:r>
          </w:p>
        </w:tc>
        <w:tc>
          <w:tcPr>
            <w:tcW w:w="272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Eversheds Sutherland (US) LLP</w:t>
            </w:r>
          </w:p>
          <w:p>
            <w:pPr>
              <w:pStyle w:val="TableContents"/>
              <w:bidi w:val="0"/>
              <w:jc w:val="left"/>
              <w:rPr/>
            </w:pPr>
            <w:r>
              <w:rPr>
                <w:rFonts w:ascii="Times New Roman;Times;Serif" w:hAnsi="Times New Roman;Times;Serif"/>
                <w:sz w:val="20"/>
              </w:rPr>
              <w:t>700 Sixth Street, NW, Suite 700</w:t>
            </w: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 20001-3980</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Saratoga Investment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N-2 (File No. 333-292765) filed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Registration Statement was initially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January 16, 2026 (as amended as of its most recent effective date, including the exhibits and schedules thereto, all documents incorporated or deemed to be incorporated into the Registration Statement by reference, any information contained in a prospectus supplement relating to the Notes (as defined below) subsequently filed with the Commission pursuant to Rule 424 under the Securities Act and deemed to be a part of the Registration Statement at the time of effectiveness pursuant to Rule 430B under the Securities Act, and any registration statement filed pursuant to Rule 462(b) under the Securities Act, is hereinafter referred to as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the Prospectus Supplement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public offering of securities of the Company that may be offered by the Company from time to time as set forth in the base prospectus, dated March 11, 2026, which forms part of the Registration Statement, together with the information incorporated or deemed to be incorporated by reference therein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as may be set forth from time to time in one or more supplements to the Base Prospectus. This opinion letter is rendered in connection with the issuance and sale under the Securities Act of $85,000,000 in aggregate principal amount of the Company’s 8.00% Notes due 2031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as described in (i) the Base Prospectus and (ii) the prospectus supplement, dated August 18, 2026, relating to the Notes, together with the information incorporated or deemed to be incorporated by reference therein (together with the Base Prospectus included therein,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filed with the Commission pursuant to Rule 424 under the Securities Act. All of the Notes are to be sold by the Company as described in the Registration Statement and the Prospectus Supplement.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pursuant to the indenture, dated as of May 10, 2013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by and between the Company and U.S. Bank Trust Company, National Association (as successor in interest to U.S. Bank National Association),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as supplemented by the eighteenth supplemental indenture, dated as of August 26, 2026 (the “</w:t>
      </w:r>
      <w:r>
        <w:rPr>
          <w:rFonts w:ascii="Times New Roman;Times;Serif" w:hAnsi="Times New Roman;Times;Serif"/>
          <w:b/>
          <w:i/>
          <w:caps w:val="false"/>
          <w:smallCaps w:val="false"/>
          <w:sz w:val="20"/>
        </w:rPr>
        <w:t>Eighteenth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which Eighteenth Supplemental Indenture was filed by the Company with the Commission as an exhibit to the Current Report on Form 8-K on the date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participated in the preparation of the Registration Statement, the Base Prospectus, and the Prospectus Supplement and have examined the originals or copies, certified or otherwise identified to our satisfaction as being true copies, of the following:</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the Articles of Incorporation of the Company, as amended, certified as of the date hereof by an officer of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the Third Amended and Restated Bylaws of the Company, certified as of the date hereof by an officer of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47" w:type="dxa"/>
            <w:tcBorders/>
            <w:vAlign w:val="center"/>
          </w:tcPr>
          <w:p>
            <w:pPr>
              <w:pStyle w:val="TableContents"/>
              <w:bidi w:val="0"/>
              <w:spacing w:before="0" w:after="283"/>
              <w:jc w:val="both"/>
              <w:rPr/>
            </w:pPr>
            <w:r>
              <w:rPr/>
              <w:t>a Certificate of Good Standing with respect to the Company issued by the State Department of Assessments and Taxation of Maryland dated as of August 18, 2026;</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(iv)</w:t>
            </w:r>
          </w:p>
        </w:tc>
        <w:tc>
          <w:tcPr>
            <w:tcW w:w="9879" w:type="dxa"/>
            <w:tcBorders/>
            <w:vAlign w:val="center"/>
          </w:tcPr>
          <w:p>
            <w:pPr>
              <w:pStyle w:val="TableContents"/>
              <w:bidi w:val="0"/>
              <w:spacing w:before="0" w:after="283"/>
              <w:jc w:val="both"/>
              <w:rPr/>
            </w:pPr>
            <w:r>
              <w:rPr/>
              <w:t>the resolutions adopted by the Board of Directors of the Company (the “</w:t>
            </w:r>
            <w:r>
              <w:rPr>
                <w:b/>
                <w:i/>
              </w:rPr>
              <w:t>Board</w:t>
            </w:r>
            <w:r>
              <w:rPr/>
              <w:t>”), or a duly authorized committee thereof, relating to, among other things: (a) the preparation and filing of the Registration Statement and the Prospectus Supplement; (b) the offering, issuance and sale of the Notes, and the terms and conditions thereof; and (c) the authorization of the execution and delivery of the Underwriting Agreement (as defined below) and the Indenture, certified as of the date hereof by an officer of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9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1340" w:type="dxa"/>
            <w:tcBorders/>
            <w:vAlign w:val="center"/>
          </w:tcPr>
          <w:p>
            <w:pPr>
              <w:pStyle w:val="TableContents"/>
              <w:bidi w:val="0"/>
              <w:spacing w:before="0" w:after="283"/>
              <w:jc w:val="both"/>
              <w:rPr/>
            </w:pPr>
            <w:r>
              <w:rPr/>
              <w:t>the Indenture;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3135"/>
        <w:gridCol w:w="60"/>
        <w:gridCol w:w="1625"/>
      </w:tblGrid>
      <w:tr>
        <w:trPr/>
        <w:tc>
          <w:tcPr>
            <w:tcW w:w="3135" w:type="dxa"/>
            <w:tcBorders/>
            <w:vAlign w:val="center"/>
          </w:tcPr>
          <w:p>
            <w:pPr>
              <w:pStyle w:val="TableContents"/>
              <w:bidi w:val="0"/>
              <w:spacing w:before="0" w:after="283"/>
              <w:jc w:val="left"/>
              <w:rPr/>
            </w:pPr>
            <w:r>
              <w:rPr/>
              <w:drawing>
                <wp:inline distT="0" distB="0" distL="0" distR="0">
                  <wp:extent cx="19431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943100" cy="476250"/>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August 26, 2026</w:t>
              <w:br/>
              <w:t>Page 2</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283"/>
              <w:jc w:val="both"/>
              <w:rPr/>
            </w:pPr>
            <w:r>
              <w:rPr/>
              <w:t xml:space="preserve">the Underwriting Agreement, dated as of August 18, 2026, by and among the Company and Saratoga Investment Advisors, LLC, on the one hand, and Lucid Capital Markets, LLC, as representative of the several underwriters named in </w:t>
            </w:r>
            <w:r>
              <w:rPr>
                <w:u w:val="single"/>
              </w:rPr>
              <w:t>Schedule I</w:t>
            </w:r>
            <w:r>
              <w:rPr/>
              <w:t xml:space="preserve"> thereto, on the other hand (the “</w:t>
            </w:r>
            <w:r>
              <w:rPr>
                <w:b/>
                <w:i/>
              </w:rPr>
              <w:t>Underwriting Agreement</w:t>
            </w:r>
            <w:r>
              <w:rPr/>
              <w: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(vii)</w:t>
            </w:r>
          </w:p>
        </w:tc>
        <w:tc>
          <w:tcPr>
            <w:tcW w:w="9767" w:type="dxa"/>
            <w:tcBorders/>
            <w:vAlign w:val="center"/>
          </w:tcPr>
          <w:p>
            <w:pPr>
              <w:pStyle w:val="TableContents"/>
              <w:bidi w:val="0"/>
              <w:spacing w:before="0" w:after="283"/>
              <w:jc w:val="both"/>
              <w:rPr/>
            </w:pPr>
            <w:r>
              <w:rPr/>
              <w:t>a specimen copy of the form of the Notes to be issued pursuant to the Indenture in the form attached to the Indenture.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officers of the Company have been properly issued, (vi) the accuracy and completeness of all corporate records made available to us by the Company, (vii) that the Indenture will be a valid and legally binding obligation of the parties thereto (other than the Company), and (viii) that at the time of issuance of the Notes, after giving effect to such issuance, the Company will be in compliance with Section 18(a)(1)(A)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giving effect to Section 61(a)(2)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certain matters of fact relevant to the opinion in this opinion letter, we have relied on certificates of officers of the Company, and on the representations, warranties and covenants of the Company set forth in the Underwriting Agreement. We also have relied on certificates and confirmations of public officials (which we have assumed remain accurate as of the date of this opinion letter). We have not independently established the facts or, in the case of certificates or confirmations of public officials, the other statements, so relied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contract laws of the State of New York, as in effect on the date hereof, and we express no opinion with respect to any other laws of the State of New York or the laws of any other jurisdiction. Without limiting the preceding sentence, we express no opinion as to any state securities or broker-dealer laws or regulations thereunder relating to the offer, issuance or sale of the Notes.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limitations, exceptions, qualifications and assumptions set forth in this opinion letter, we are of the opinion that, when the Notes are duly executed and delivered by duly authorized officers of the Company and duly authenticated by the Trustee, all in accordance with the provisions of the Indenture, and delivered to the purchasers thereof against payment of the agreed consideration therefor, the Notes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in this opinion letter is: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Company’s Current Report on Form 8-K, to be filed with the Commission on the date hereof for incorporation by reference in the Registration Statement and to the reference to our firm in the “Legal Matters” section in the Prospectus Supplement. We do not admit by giving this consent that we are in the category of persons whose consent is required under Section 7 of the Securities Act.</w:t>
      </w:r>
    </w:p>
    <w:p>
      <w:pPr>
        <w:pStyle w:val="TextBody"/>
        <w:bidi w:val="0"/>
        <w:spacing w:before="0" w:after="0"/>
        <w:ind w:left="0" w:right="0" w:firstLine="49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Respectfully submitted,</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Eversheds Sutherland (US) LLP</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936/000104746913005204/a2214878zex-99_d4.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8847</Words>
  <Characters>46395</Characters>
  <CharactersWithSpaces>55360</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